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黑体"/>
          <w:sz w:val="32"/>
          <w:szCs w:val="32"/>
        </w:rPr>
      </w:pPr>
    </w:p>
    <w:p>
      <w:pPr>
        <w:spacing w:line="600" w:lineRule="exact"/>
        <w:rPr>
          <w:rFonts w:eastAsia="黑体"/>
          <w:sz w:val="32"/>
          <w:szCs w:val="32"/>
        </w:rPr>
      </w:pP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湘西自治州建设工程质量安全监督管理站</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8"/>
          <w:szCs w:val="48"/>
        </w:rPr>
        <w:t>2022年度整体支出绩效自评报告</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44"/>
          <w:szCs w:val="44"/>
        </w:rPr>
      </w:pPr>
    </w:p>
    <w:p>
      <w:pPr>
        <w:jc w:val="center"/>
        <w:rPr>
          <w:rFonts w:eastAsia="黑体"/>
          <w:sz w:val="44"/>
          <w:szCs w:val="44"/>
        </w:rPr>
      </w:pPr>
    </w:p>
    <w:p>
      <w:pPr>
        <w:spacing w:line="600" w:lineRule="exact"/>
        <w:ind w:firstLine="880" w:firstLineChars="200"/>
        <w:jc w:val="center"/>
        <w:rPr>
          <w:rFonts w:eastAsia="黑体"/>
          <w:sz w:val="44"/>
          <w:szCs w:val="44"/>
        </w:rPr>
      </w:pPr>
    </w:p>
    <w:p>
      <w:pPr>
        <w:spacing w:line="600" w:lineRule="exact"/>
        <w:ind w:firstLine="2160" w:firstLineChars="600"/>
        <w:rPr>
          <w:rFonts w:eastAsia="黑体"/>
          <w:sz w:val="36"/>
          <w:szCs w:val="36"/>
        </w:rPr>
      </w:pPr>
      <w:r>
        <w:rPr>
          <w:rFonts w:hint="eastAsia" w:eastAsia="黑体"/>
          <w:sz w:val="36"/>
          <w:szCs w:val="36"/>
        </w:rPr>
        <w:t>部门（</w:t>
      </w:r>
      <w:r>
        <w:rPr>
          <w:rFonts w:eastAsia="黑体"/>
          <w:sz w:val="36"/>
          <w:szCs w:val="36"/>
        </w:rPr>
        <w:t>单位</w:t>
      </w:r>
      <w:r>
        <w:rPr>
          <w:rFonts w:hint="eastAsia" w:eastAsia="黑体"/>
          <w:sz w:val="36"/>
          <w:szCs w:val="36"/>
        </w:rPr>
        <w:t>）</w:t>
      </w:r>
      <w:r>
        <w:rPr>
          <w:rFonts w:eastAsia="黑体"/>
          <w:sz w:val="36"/>
          <w:szCs w:val="36"/>
        </w:rPr>
        <w:t>名称（盖章）：</w:t>
      </w:r>
    </w:p>
    <w:p>
      <w:pPr>
        <w:spacing w:line="600" w:lineRule="exact"/>
        <w:ind w:firstLine="2160" w:firstLineChars="600"/>
        <w:rPr>
          <w:rFonts w:hint="eastAsia" w:eastAsia="黑体"/>
          <w:sz w:val="36"/>
          <w:szCs w:val="36"/>
        </w:rPr>
      </w:pPr>
      <w:r>
        <w:rPr>
          <w:rFonts w:hint="eastAsia" w:eastAsia="黑体"/>
          <w:sz w:val="36"/>
          <w:szCs w:val="36"/>
        </w:rPr>
        <w:t>预算编码：702002</w:t>
      </w:r>
    </w:p>
    <w:p>
      <w:pPr>
        <w:spacing w:line="600" w:lineRule="exact"/>
        <w:jc w:val="center"/>
        <w:rPr>
          <w:rFonts w:eastAsia="黑体"/>
          <w:sz w:val="36"/>
          <w:szCs w:val="36"/>
        </w:rPr>
      </w:pPr>
    </w:p>
    <w:p>
      <w:pPr>
        <w:spacing w:line="600" w:lineRule="exact"/>
        <w:ind w:firstLine="2099" w:firstLineChars="656"/>
        <w:jc w:val="left"/>
        <w:rPr>
          <w:rFonts w:hint="eastAsia" w:eastAsia="仿宋_GB2312"/>
          <w:sz w:val="32"/>
          <w:szCs w:val="32"/>
        </w:rPr>
      </w:pPr>
      <w:r>
        <w:rPr>
          <w:rFonts w:hint="eastAsia" w:eastAsia="仿宋_GB2312"/>
          <w:sz w:val="32"/>
          <w:szCs w:val="32"/>
        </w:rPr>
        <w:t>评价方式：单位绩效自评</w:t>
      </w:r>
    </w:p>
    <w:p>
      <w:pPr>
        <w:spacing w:line="600" w:lineRule="exact"/>
        <w:ind w:firstLine="2099" w:firstLineChars="656"/>
        <w:jc w:val="left"/>
        <w:rPr>
          <w:rFonts w:hint="eastAsia" w:eastAsia="仿宋_GB2312" w:cs="Arial"/>
          <w:sz w:val="28"/>
          <w:szCs w:val="28"/>
        </w:rPr>
      </w:pPr>
      <w:r>
        <w:rPr>
          <w:rFonts w:hint="eastAsia" w:eastAsia="仿宋_GB2312"/>
          <w:sz w:val="32"/>
          <w:szCs w:val="32"/>
        </w:rPr>
        <w:t>评价机构：单位评价组</w:t>
      </w:r>
    </w:p>
    <w:p>
      <w:pPr>
        <w:ind w:firstLine="420" w:firstLineChars="150"/>
        <w:jc w:val="left"/>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报告时间：</w:t>
      </w:r>
      <w:r>
        <w:rPr>
          <w:rFonts w:hint="eastAsia" w:ascii="仿宋_GB2312" w:hAnsi="仿宋_GB2312" w:eastAsia="仿宋_GB2312" w:cs="仿宋_GB2312"/>
          <w:sz w:val="28"/>
          <w:szCs w:val="28"/>
          <w:u w:val="single"/>
        </w:rPr>
        <w:t xml:space="preserve">2023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6</w:t>
      </w:r>
      <w:r>
        <w:rPr>
          <w:rFonts w:hint="eastAsia" w:ascii="仿宋_GB2312" w:hAnsi="仿宋_GB2312" w:eastAsia="仿宋_GB2312" w:cs="仿宋_GB2312"/>
          <w:sz w:val="28"/>
          <w:szCs w:val="28"/>
        </w:rPr>
        <w:t>月</w:t>
      </w:r>
    </w:p>
    <w:p>
      <w:pPr>
        <w:spacing w:line="240" w:lineRule="auto"/>
        <w:jc w:val="center"/>
        <w:rPr>
          <w:rFonts w:hint="eastAsia" w:eastAsia="黑体" w:cs="Arial"/>
          <w:sz w:val="32"/>
          <w:szCs w:val="32"/>
          <w:shd w:val="clear" w:color="auto" w:fill="FFFFFF"/>
        </w:rPr>
      </w:pPr>
      <w:r>
        <w:rPr>
          <w:rFonts w:hint="eastAsia" w:ascii="仿宋_GB2312" w:hAnsi="仿宋_GB2312" w:eastAsia="仿宋_GB2312" w:cs="仿宋_GB2312"/>
          <w:sz w:val="32"/>
          <w:szCs w:val="32"/>
        </w:rPr>
        <w:t>（此页为封面）</w:t>
      </w:r>
    </w:p>
    <w:p>
      <w:pPr>
        <w:spacing w:line="480" w:lineRule="auto"/>
        <w:jc w:val="center"/>
      </w:pPr>
    </w:p>
    <w:p>
      <w:pPr>
        <w:rPr>
          <w:rFonts w:hint="eastAsia" w:eastAsia="黑体" w:cs="Arial"/>
          <w:sz w:val="32"/>
          <w:szCs w:val="32"/>
          <w:shd w:val="clear" w:color="auto" w:fill="FFFFFF"/>
        </w:rPr>
        <w:sectPr>
          <w:headerReference r:id="rId3" w:type="default"/>
          <w:footerReference r:id="rId4" w:type="default"/>
          <w:pgSz w:w="11905" w:h="16837"/>
          <w:pgMar w:top="1418" w:right="1531" w:bottom="1985" w:left="1531" w:header="851" w:footer="1701" w:gutter="0"/>
          <w:pgNumType w:fmt="numberInDash"/>
          <w:cols w:space="720" w:num="1"/>
          <w:docGrid w:linePitch="636" w:charSpace="20838"/>
        </w:sectPr>
      </w:pPr>
    </w:p>
    <w:p>
      <w:pPr>
        <w:rPr>
          <w:rFonts w:hint="eastAsia" w:eastAsia="黑体" w:cs="Arial"/>
          <w:sz w:val="32"/>
          <w:szCs w:val="32"/>
          <w:shd w:val="clear" w:color="auto" w:fill="FFFFFF"/>
        </w:rPr>
      </w:pPr>
    </w:p>
    <w:tbl>
      <w:tblPr>
        <w:tblStyle w:val="3"/>
        <w:tblW w:w="99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741"/>
        <w:gridCol w:w="911"/>
        <w:gridCol w:w="46"/>
        <w:gridCol w:w="41"/>
        <w:gridCol w:w="352"/>
        <w:gridCol w:w="740"/>
        <w:gridCol w:w="277"/>
        <w:gridCol w:w="1327"/>
        <w:gridCol w:w="465"/>
        <w:gridCol w:w="501"/>
        <w:gridCol w:w="94"/>
        <w:gridCol w:w="1199"/>
        <w:gridCol w:w="226"/>
        <w:gridCol w:w="124"/>
        <w:gridCol w:w="306"/>
        <w:gridCol w:w="413"/>
        <w:gridCol w:w="427"/>
        <w:gridCol w:w="530"/>
        <w:gridCol w:w="139"/>
        <w:gridCol w:w="203"/>
        <w:gridCol w:w="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03" w:type="dxa"/>
            <w:gridSpan w:val="21"/>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联系人</w:t>
            </w:r>
          </w:p>
        </w:tc>
        <w:tc>
          <w:tcPr>
            <w:tcW w:w="3843" w:type="dxa"/>
            <w:gridSpan w:val="9"/>
            <w:vAlign w:val="center"/>
          </w:tcPr>
          <w:p>
            <w:pPr>
              <w:autoSpaceDN w:val="0"/>
              <w:spacing w:line="320" w:lineRule="exact"/>
              <w:jc w:val="center"/>
              <w:textAlignment w:val="center"/>
              <w:rPr>
                <w:rFonts w:hint="eastAsia" w:eastAsia="仿宋_GB2312" w:cs="仿宋_GB2312"/>
                <w:sz w:val="24"/>
              </w:rPr>
            </w:pPr>
          </w:p>
        </w:tc>
        <w:tc>
          <w:tcPr>
            <w:tcW w:w="1199" w:type="dxa"/>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联系电话</w:t>
            </w:r>
          </w:p>
        </w:tc>
        <w:tc>
          <w:tcPr>
            <w:tcW w:w="3209" w:type="dxa"/>
            <w:gridSpan w:val="9"/>
            <w:vAlign w:val="center"/>
          </w:tcPr>
          <w:p>
            <w:pPr>
              <w:autoSpaceDN w:val="0"/>
              <w:spacing w:line="320" w:lineRule="exact"/>
              <w:jc w:val="center"/>
              <w:textAlignment w:val="center"/>
              <w:rPr>
                <w:rFonts w:hint="eastAsia" w:ascii="宋体" w:hAnsi="宋体" w:cs="宋体"/>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人员编制</w:t>
            </w:r>
          </w:p>
        </w:tc>
        <w:tc>
          <w:tcPr>
            <w:tcW w:w="3843" w:type="dxa"/>
            <w:gridSpan w:val="9"/>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25</w:t>
            </w:r>
          </w:p>
        </w:tc>
        <w:tc>
          <w:tcPr>
            <w:tcW w:w="1199" w:type="dxa"/>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实有人数</w:t>
            </w:r>
          </w:p>
        </w:tc>
        <w:tc>
          <w:tcPr>
            <w:tcW w:w="3209" w:type="dxa"/>
            <w:gridSpan w:val="9"/>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56" w:hRule="atLeast"/>
          <w:jc w:val="center"/>
        </w:trPr>
        <w:tc>
          <w:tcPr>
            <w:tcW w:w="1652" w:type="dxa"/>
            <w:gridSpan w:val="2"/>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职能职责概述</w:t>
            </w:r>
          </w:p>
        </w:tc>
        <w:tc>
          <w:tcPr>
            <w:tcW w:w="8251" w:type="dxa"/>
            <w:gridSpan w:val="19"/>
            <w:vAlign w:val="center"/>
          </w:tcPr>
          <w:p>
            <w:pPr>
              <w:rPr>
                <w:rFonts w:hint="eastAsia" w:eastAsia="仿宋_GB2312" w:cs="仿宋_GB2312"/>
                <w:sz w:val="24"/>
              </w:rPr>
            </w:pPr>
            <w:r>
              <w:rPr>
                <w:rFonts w:hint="eastAsia" w:eastAsia="仿宋_GB2312" w:cs="仿宋_GB2312"/>
                <w:sz w:val="24"/>
              </w:rPr>
              <w:t>湘西自治州建设工程质量安全监督管理站，为正科级全额拨款事业单位，主管部门为湘西土家族苗族自治州住房和城乡建设局，单位统一社会信用代码为：12433100570263953C。部门职责：①负责对各县市建设工程质量安全监督工作的业务指导和管理；②负责对州管项目责任主体和有关机构履行质量安全责任行为的监督检查；③负责对州管项目工程实体质量安全的监督检查；④负责对州管项目施工技术资料、监理资料以及检测报告等有关工程质量的文件和资料的监督检查；⑤负责对工程竣工验收的监督检查；⑥负责对混凝预制构件及预拌混凝土质量的监督检查；⑦提交工程质量监督报告，检验、检测、检查施工现场使用安全防护用具及机器设备；⑧协助建设行政部门组织或参与工程重大质量安全事故的调查处理；⑨组织调查处理和统计伤亡事故；监督施工现场安全达标和文明施工；⑩做好建设行政主管部门以及其他有关部门交办的工程（产品）质量监督检查、重大工程质量事故鉴定、质量纠纷仲裁检测、检验测试技术的研究和开发，有关规范、标准的制定和修订工作；⑪承担建设工程质量检测鉴定工作，出具法定检测数据；⑫完成州住房和城乡建设局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24" w:hRule="atLeast"/>
          <w:jc w:val="center"/>
        </w:trPr>
        <w:tc>
          <w:tcPr>
            <w:tcW w:w="1652" w:type="dxa"/>
            <w:gridSpan w:val="2"/>
            <w:vAlign w:val="center"/>
          </w:tcPr>
          <w:p>
            <w:pPr>
              <w:autoSpaceDN w:val="0"/>
              <w:spacing w:line="320" w:lineRule="exact"/>
              <w:jc w:val="center"/>
              <w:textAlignment w:val="center"/>
              <w:rPr>
                <w:rFonts w:hint="eastAsia" w:ascii="仿宋_GB2312" w:eastAsia="仿宋_GB2312" w:cs="仿宋_GB2312"/>
                <w:sz w:val="24"/>
              </w:rPr>
            </w:pPr>
            <w:r>
              <w:rPr>
                <w:rFonts w:hint="eastAsia" w:ascii="仿宋_GB2312" w:eastAsia="仿宋_GB2312" w:cs="仿宋_GB2312"/>
                <w:sz w:val="24"/>
              </w:rPr>
              <w:t>年度主要</w:t>
            </w:r>
          </w:p>
          <w:p>
            <w:pPr>
              <w:autoSpaceDN w:val="0"/>
              <w:spacing w:line="320" w:lineRule="exact"/>
              <w:jc w:val="center"/>
              <w:textAlignment w:val="center"/>
              <w:rPr>
                <w:rFonts w:hint="eastAsia" w:ascii="仿宋_GB2312" w:eastAsia="仿宋_GB2312" w:cs="仿宋_GB2312"/>
                <w:sz w:val="24"/>
              </w:rPr>
            </w:pPr>
            <w:r>
              <w:rPr>
                <w:rFonts w:hint="eastAsia" w:ascii="仿宋_GB2312" w:eastAsia="仿宋_GB2312" w:cs="仿宋_GB2312"/>
                <w:sz w:val="24"/>
              </w:rPr>
              <w:t>工作内容</w:t>
            </w:r>
          </w:p>
        </w:tc>
        <w:tc>
          <w:tcPr>
            <w:tcW w:w="8251" w:type="dxa"/>
            <w:gridSpan w:val="19"/>
            <w:vAlign w:val="center"/>
          </w:tcPr>
          <w:p>
            <w:pPr>
              <w:rPr>
                <w:color w:val="000000"/>
              </w:rPr>
            </w:pPr>
            <w:r>
              <w:rPr>
                <w:rFonts w:hint="eastAsia"/>
                <w:color w:val="000000"/>
              </w:rPr>
              <w:t>1.</w:t>
            </w:r>
            <w:r>
              <w:rPr>
                <w:color w:val="000000"/>
              </w:rPr>
              <w:t>完成省州制定的各项目标任务；</w:t>
            </w:r>
          </w:p>
          <w:p>
            <w:pPr>
              <w:rPr>
                <w:rFonts w:hint="eastAsia" w:eastAsia="仿宋_GB2312" w:cs="仿宋_GB2312"/>
                <w:sz w:val="24"/>
              </w:rPr>
            </w:pPr>
            <w:r>
              <w:rPr>
                <w:rFonts w:hint="eastAsia"/>
                <w:color w:val="000000"/>
              </w:rPr>
              <w:t>2.</w:t>
            </w:r>
            <w:r>
              <w:rPr>
                <w:color w:val="000000"/>
              </w:rPr>
              <w:t>强化建设工程</w:t>
            </w:r>
            <w:r>
              <w:rPr>
                <w:rFonts w:hint="eastAsia"/>
                <w:color w:val="000000"/>
                <w:lang w:val="en-US" w:eastAsia="zh-CN"/>
              </w:rPr>
              <w:t>质量</w:t>
            </w:r>
            <w:r>
              <w:rPr>
                <w:color w:val="000000"/>
              </w:rPr>
              <w:t>和安全监管；</w:t>
            </w:r>
          </w:p>
          <w:p>
            <w:pPr>
              <w:rPr>
                <w:rFonts w:hint="eastAsia" w:cs="仿宋_GB2312"/>
                <w:sz w:val="24"/>
              </w:rPr>
            </w:pPr>
            <w:r>
              <w:rPr>
                <w:rFonts w:hint="eastAsia"/>
                <w:color w:val="000000"/>
              </w:rPr>
              <w:t>3.</w:t>
            </w:r>
            <w:r>
              <w:rPr>
                <w:color w:val="000000"/>
              </w:rPr>
              <w:t>强化消防验收监管</w:t>
            </w:r>
            <w:r>
              <w:rPr>
                <w:rFonts w:hint="eastAsia"/>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49" w:hRule="atLeast"/>
          <w:jc w:val="center"/>
        </w:trPr>
        <w:tc>
          <w:tcPr>
            <w:tcW w:w="1652" w:type="dxa"/>
            <w:gridSpan w:val="2"/>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年度部门（单位）总体运行情况及取得的成绩</w:t>
            </w:r>
          </w:p>
        </w:tc>
        <w:tc>
          <w:tcPr>
            <w:tcW w:w="8251" w:type="dxa"/>
            <w:gridSpan w:val="19"/>
            <w:vAlign w:val="center"/>
          </w:tcPr>
          <w:p>
            <w:pPr>
              <w:rPr>
                <w:rFonts w:eastAsia="仿宋_GB2312" w:cs="仿宋_GB2312"/>
                <w:sz w:val="24"/>
              </w:rPr>
            </w:pPr>
            <w:r>
              <w:rPr>
                <w:rFonts w:hint="eastAsia" w:eastAsia="仿宋_GB2312" w:cs="仿宋_GB2312"/>
                <w:sz w:val="24"/>
              </w:rPr>
              <w:t>1.完成省州各项目标任务。</w:t>
            </w:r>
          </w:p>
          <w:p>
            <w:pPr>
              <w:rPr>
                <w:rFonts w:hint="eastAsia"/>
              </w:rPr>
            </w:pPr>
            <w:r>
              <w:rPr>
                <w:rFonts w:hint="eastAsia" w:eastAsia="仿宋_GB2312" w:cs="仿宋_GB2312"/>
                <w:sz w:val="24"/>
              </w:rPr>
              <w:t>2.全年州直管工程项目未发生重大质量安全事故；工程竣工验收备案率达95%；强化工程质量监管，制定了《创建湘西自治州建筑施工质量安全标准化示范观摩工地实施办法》，深入推进工程质量常见问题专项治理工作，创建质量安全标准示范工地2个，对在州内建筑行业内承接业务的25家检测机构进行全面检查，做好住宅类工程分户验收工作。强化安全生产监管。制定下发了《湘西州房屋市政工程安全生产治理行动实施方案》，严格开展施工现场安全隐患排查整治工作，全州共计排查隐患1897处，其中，重大隐患25处，已经全部挂牌督办落实到位。组织各县市区监督机构参加了新进人员培训和已持证监督人员的继续教育工作。开展行业从业人员培训考核工作，增强了行业从业人员的专业技术水平和能力。开展建筑施工应急救援演练，提升了全州建筑施工应急处置能力，强化了日常事故防控和救援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9903" w:type="dxa"/>
            <w:gridSpan w:val="21"/>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9903" w:type="dxa"/>
            <w:gridSpan w:val="21"/>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2" w:hRule="atLeast"/>
          <w:jc w:val="center"/>
        </w:trPr>
        <w:tc>
          <w:tcPr>
            <w:tcW w:w="1698" w:type="dxa"/>
            <w:gridSpan w:val="3"/>
            <w:vMerge w:val="restart"/>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机构名称</w:t>
            </w:r>
          </w:p>
        </w:tc>
        <w:tc>
          <w:tcPr>
            <w:tcW w:w="1410" w:type="dxa"/>
            <w:gridSpan w:val="4"/>
            <w:vMerge w:val="restart"/>
            <w:tcBorders>
              <w:right w:val="single" w:color="auto" w:sz="4" w:space="0"/>
            </w:tcBorders>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收入合计</w:t>
            </w:r>
          </w:p>
        </w:tc>
        <w:tc>
          <w:tcPr>
            <w:tcW w:w="6795" w:type="dxa"/>
            <w:gridSpan w:val="14"/>
            <w:tcBorders>
              <w:left w:val="single" w:color="auto" w:sz="4" w:space="0"/>
            </w:tcBorders>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4" w:hRule="atLeast"/>
          <w:jc w:val="center"/>
        </w:trPr>
        <w:tc>
          <w:tcPr>
            <w:tcW w:w="1698" w:type="dxa"/>
            <w:gridSpan w:val="3"/>
            <w:vMerge w:val="continue"/>
            <w:vAlign w:val="center"/>
          </w:tcPr>
          <w:p>
            <w:pPr>
              <w:autoSpaceDN w:val="0"/>
              <w:spacing w:line="320" w:lineRule="exact"/>
              <w:jc w:val="center"/>
              <w:textAlignment w:val="center"/>
              <w:rPr>
                <w:rFonts w:hint="eastAsia" w:eastAsia="仿宋_GB2312" w:cs="仿宋_GB2312"/>
                <w:sz w:val="24"/>
              </w:rPr>
            </w:pPr>
          </w:p>
        </w:tc>
        <w:tc>
          <w:tcPr>
            <w:tcW w:w="1410" w:type="dxa"/>
            <w:gridSpan w:val="4"/>
            <w:vMerge w:val="continue"/>
            <w:tcBorders>
              <w:right w:val="single" w:color="auto" w:sz="4" w:space="0"/>
            </w:tcBorders>
            <w:vAlign w:val="center"/>
          </w:tcPr>
          <w:p>
            <w:pPr>
              <w:autoSpaceDN w:val="0"/>
              <w:spacing w:line="320" w:lineRule="exact"/>
              <w:jc w:val="center"/>
              <w:textAlignment w:val="center"/>
              <w:rPr>
                <w:rFonts w:hint="eastAsia" w:eastAsia="仿宋_GB2312" w:cs="仿宋_GB2312"/>
                <w:sz w:val="24"/>
              </w:rPr>
            </w:pPr>
          </w:p>
        </w:tc>
        <w:tc>
          <w:tcPr>
            <w:tcW w:w="1327" w:type="dxa"/>
            <w:tcBorders>
              <w:left w:val="single" w:color="auto" w:sz="4" w:space="0"/>
            </w:tcBorders>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上年结转</w:t>
            </w:r>
          </w:p>
        </w:tc>
        <w:tc>
          <w:tcPr>
            <w:tcW w:w="1060" w:type="dxa"/>
            <w:gridSpan w:val="3"/>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公共财</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政拨款</w:t>
            </w:r>
          </w:p>
        </w:tc>
        <w:tc>
          <w:tcPr>
            <w:tcW w:w="1425" w:type="dxa"/>
            <w:gridSpan w:val="2"/>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政府基金拨款</w:t>
            </w:r>
          </w:p>
        </w:tc>
        <w:tc>
          <w:tcPr>
            <w:tcW w:w="1800" w:type="dxa"/>
            <w:gridSpan w:val="5"/>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纳入专户管理的非税收入拨款</w:t>
            </w:r>
          </w:p>
        </w:tc>
        <w:tc>
          <w:tcPr>
            <w:tcW w:w="1183" w:type="dxa"/>
            <w:gridSpan w:val="3"/>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其他</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698" w:type="dxa"/>
            <w:gridSpan w:val="3"/>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州建设工程质量安全监督站</w:t>
            </w:r>
          </w:p>
        </w:tc>
        <w:tc>
          <w:tcPr>
            <w:tcW w:w="1410" w:type="dxa"/>
            <w:gridSpan w:val="4"/>
            <w:tcBorders>
              <w:right w:val="single" w:color="auto" w:sz="4" w:space="0"/>
            </w:tcBorders>
            <w:vAlign w:val="center"/>
          </w:tcPr>
          <w:p>
            <w:pPr>
              <w:jc w:val="center"/>
              <w:rPr>
                <w:rFonts w:hint="eastAsia" w:eastAsia="仿宋_GB2312" w:cs="仿宋_GB2312"/>
                <w:sz w:val="24"/>
              </w:rPr>
            </w:pPr>
            <w:r>
              <w:rPr>
                <w:rFonts w:hint="eastAsia" w:eastAsia="仿宋_GB2312" w:cs="仿宋_GB2312"/>
                <w:sz w:val="24"/>
              </w:rPr>
              <w:t>450.93</w:t>
            </w:r>
          </w:p>
        </w:tc>
        <w:tc>
          <w:tcPr>
            <w:tcW w:w="1327" w:type="dxa"/>
            <w:tcBorders>
              <w:left w:val="single" w:color="auto" w:sz="4" w:space="0"/>
            </w:tcBorders>
            <w:vAlign w:val="center"/>
          </w:tcPr>
          <w:p>
            <w:pPr>
              <w:jc w:val="center"/>
              <w:rPr>
                <w:rFonts w:hint="eastAsia" w:eastAsia="仿宋_GB2312" w:cs="仿宋_GB2312"/>
                <w:sz w:val="24"/>
              </w:rPr>
            </w:pPr>
            <w:r>
              <w:rPr>
                <w:rFonts w:hint="eastAsia" w:eastAsia="仿宋_GB2312" w:cs="仿宋_GB2312"/>
                <w:sz w:val="24"/>
              </w:rPr>
              <w:t>2.68</w:t>
            </w:r>
          </w:p>
        </w:tc>
        <w:tc>
          <w:tcPr>
            <w:tcW w:w="1060" w:type="dxa"/>
            <w:gridSpan w:val="3"/>
            <w:vAlign w:val="center"/>
          </w:tcPr>
          <w:p>
            <w:pPr>
              <w:jc w:val="center"/>
              <w:rPr>
                <w:rFonts w:hint="eastAsia" w:eastAsia="仿宋_GB2312" w:cs="仿宋_GB2312"/>
                <w:sz w:val="24"/>
              </w:rPr>
            </w:pPr>
            <w:r>
              <w:rPr>
                <w:rFonts w:hint="eastAsia" w:eastAsia="仿宋_GB2312" w:cs="仿宋_GB2312"/>
                <w:sz w:val="24"/>
              </w:rPr>
              <w:t>448.25</w:t>
            </w:r>
          </w:p>
        </w:tc>
        <w:tc>
          <w:tcPr>
            <w:tcW w:w="1425" w:type="dxa"/>
            <w:gridSpan w:val="2"/>
            <w:vAlign w:val="center"/>
          </w:tcPr>
          <w:p>
            <w:pPr>
              <w:autoSpaceDN w:val="0"/>
              <w:spacing w:line="320" w:lineRule="exact"/>
              <w:jc w:val="left"/>
              <w:textAlignment w:val="center"/>
              <w:rPr>
                <w:rFonts w:hint="eastAsia" w:eastAsia="仿宋_GB2312" w:cs="仿宋_GB2312"/>
                <w:sz w:val="24"/>
              </w:rPr>
            </w:pPr>
          </w:p>
        </w:tc>
        <w:tc>
          <w:tcPr>
            <w:tcW w:w="1800" w:type="dxa"/>
            <w:gridSpan w:val="5"/>
            <w:vAlign w:val="center"/>
          </w:tcPr>
          <w:p>
            <w:pPr>
              <w:autoSpaceDN w:val="0"/>
              <w:spacing w:line="320" w:lineRule="exact"/>
              <w:jc w:val="center"/>
              <w:textAlignment w:val="center"/>
              <w:rPr>
                <w:rFonts w:hint="eastAsia" w:eastAsia="仿宋_GB2312" w:cs="仿宋_GB2312"/>
                <w:sz w:val="24"/>
              </w:rPr>
            </w:pPr>
          </w:p>
        </w:tc>
        <w:tc>
          <w:tcPr>
            <w:tcW w:w="1183" w:type="dxa"/>
            <w:gridSpan w:val="3"/>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vAlign w:val="center"/>
          </w:tcPr>
          <w:p>
            <w:pPr>
              <w:spacing w:line="320" w:lineRule="exact"/>
              <w:rPr>
                <w:rFonts w:hint="eastAsia" w:eastAsia="仿宋_GB2312" w:cs="仿宋_GB2312"/>
                <w:sz w:val="24"/>
              </w:rPr>
            </w:pPr>
          </w:p>
        </w:tc>
        <w:tc>
          <w:tcPr>
            <w:tcW w:w="1410" w:type="dxa"/>
            <w:gridSpan w:val="4"/>
            <w:tcBorders>
              <w:right w:val="single" w:color="auto" w:sz="4" w:space="0"/>
            </w:tcBorders>
            <w:vAlign w:val="center"/>
          </w:tcPr>
          <w:p>
            <w:pPr>
              <w:jc w:val="center"/>
              <w:rPr>
                <w:rFonts w:hint="eastAsia" w:eastAsia="仿宋_GB2312" w:cs="仿宋_GB2312"/>
                <w:sz w:val="24"/>
              </w:rPr>
            </w:pPr>
          </w:p>
        </w:tc>
        <w:tc>
          <w:tcPr>
            <w:tcW w:w="1327" w:type="dxa"/>
            <w:tcBorders>
              <w:left w:val="single" w:color="auto" w:sz="4" w:space="0"/>
            </w:tcBorders>
            <w:vAlign w:val="center"/>
          </w:tcPr>
          <w:p>
            <w:pPr>
              <w:jc w:val="center"/>
              <w:rPr>
                <w:rFonts w:hint="eastAsia" w:eastAsia="仿宋_GB2312" w:cs="仿宋_GB2312"/>
                <w:sz w:val="24"/>
              </w:rPr>
            </w:pPr>
          </w:p>
        </w:tc>
        <w:tc>
          <w:tcPr>
            <w:tcW w:w="1060" w:type="dxa"/>
            <w:gridSpan w:val="3"/>
            <w:vAlign w:val="center"/>
          </w:tcPr>
          <w:p>
            <w:pPr>
              <w:jc w:val="center"/>
              <w:rPr>
                <w:rFonts w:hint="eastAsia" w:eastAsia="仿宋_GB2312" w:cs="仿宋_GB2312"/>
                <w:sz w:val="24"/>
              </w:rPr>
            </w:pPr>
          </w:p>
        </w:tc>
        <w:tc>
          <w:tcPr>
            <w:tcW w:w="1425" w:type="dxa"/>
            <w:gridSpan w:val="2"/>
            <w:vAlign w:val="center"/>
          </w:tcPr>
          <w:p>
            <w:pPr>
              <w:autoSpaceDN w:val="0"/>
              <w:spacing w:line="320" w:lineRule="exact"/>
              <w:jc w:val="left"/>
              <w:textAlignment w:val="center"/>
              <w:rPr>
                <w:rFonts w:hint="eastAsia" w:eastAsia="仿宋_GB2312" w:cs="仿宋_GB2312"/>
                <w:sz w:val="24"/>
              </w:rPr>
            </w:pPr>
          </w:p>
        </w:tc>
        <w:tc>
          <w:tcPr>
            <w:tcW w:w="1800" w:type="dxa"/>
            <w:gridSpan w:val="5"/>
            <w:vAlign w:val="center"/>
          </w:tcPr>
          <w:p>
            <w:pPr>
              <w:autoSpaceDN w:val="0"/>
              <w:spacing w:line="320" w:lineRule="exact"/>
              <w:jc w:val="center"/>
              <w:textAlignment w:val="center"/>
              <w:rPr>
                <w:rFonts w:hint="eastAsia" w:eastAsia="仿宋_GB2312" w:cs="仿宋_GB2312"/>
                <w:sz w:val="24"/>
              </w:rPr>
            </w:pPr>
          </w:p>
        </w:tc>
        <w:tc>
          <w:tcPr>
            <w:tcW w:w="1183" w:type="dxa"/>
            <w:gridSpan w:val="3"/>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9903" w:type="dxa"/>
            <w:gridSpan w:val="21"/>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9" w:hRule="atLeast"/>
          <w:jc w:val="center"/>
        </w:trPr>
        <w:tc>
          <w:tcPr>
            <w:tcW w:w="1698" w:type="dxa"/>
            <w:gridSpan w:val="3"/>
            <w:vMerge w:val="restart"/>
            <w:vAlign w:val="center"/>
          </w:tcPr>
          <w:p>
            <w:pPr>
              <w:snapToGrid w:val="0"/>
              <w:spacing w:line="320" w:lineRule="exact"/>
              <w:jc w:val="center"/>
              <w:rPr>
                <w:rFonts w:hint="eastAsia" w:eastAsia="仿宋_GB2312" w:cs="仿宋_GB2312"/>
                <w:sz w:val="24"/>
              </w:rPr>
            </w:pPr>
            <w:r>
              <w:rPr>
                <w:rFonts w:hint="eastAsia" w:eastAsia="仿宋_GB2312" w:cs="仿宋_GB2312"/>
                <w:sz w:val="24"/>
              </w:rPr>
              <w:t>机构名称</w:t>
            </w:r>
          </w:p>
        </w:tc>
        <w:tc>
          <w:tcPr>
            <w:tcW w:w="1410" w:type="dxa"/>
            <w:gridSpan w:val="4"/>
            <w:vMerge w:val="restart"/>
            <w:tcBorders>
              <w:right w:val="single" w:color="auto" w:sz="4" w:space="0"/>
            </w:tcBorders>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支出合计</w:t>
            </w:r>
          </w:p>
        </w:tc>
        <w:tc>
          <w:tcPr>
            <w:tcW w:w="5082" w:type="dxa"/>
            <w:gridSpan w:val="10"/>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c>
          <w:tcPr>
            <w:tcW w:w="1713"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0" w:hRule="atLeast"/>
          <w:jc w:val="center"/>
        </w:trPr>
        <w:tc>
          <w:tcPr>
            <w:tcW w:w="1698" w:type="dxa"/>
            <w:gridSpan w:val="3"/>
            <w:vMerge w:val="continue"/>
            <w:vAlign w:val="center"/>
          </w:tcPr>
          <w:p>
            <w:pPr>
              <w:spacing w:line="320" w:lineRule="exact"/>
              <w:jc w:val="center"/>
              <w:rPr>
                <w:rFonts w:hint="eastAsia" w:eastAsia="仿宋_GB2312" w:cs="仿宋_GB2312"/>
                <w:sz w:val="24"/>
              </w:rPr>
            </w:pPr>
          </w:p>
        </w:tc>
        <w:tc>
          <w:tcPr>
            <w:tcW w:w="1410" w:type="dxa"/>
            <w:gridSpan w:val="4"/>
            <w:vMerge w:val="continue"/>
            <w:tcBorders>
              <w:right w:val="single" w:color="auto" w:sz="4" w:space="0"/>
            </w:tcBorders>
            <w:vAlign w:val="center"/>
          </w:tcPr>
          <w:p>
            <w:pPr>
              <w:autoSpaceDN w:val="0"/>
              <w:spacing w:line="320" w:lineRule="exact"/>
              <w:jc w:val="center"/>
              <w:textAlignment w:val="center"/>
              <w:rPr>
                <w:rFonts w:hint="eastAsia" w:eastAsia="仿宋_GB2312" w:cs="仿宋_GB2312"/>
                <w:sz w:val="24"/>
              </w:rPr>
            </w:pPr>
          </w:p>
        </w:tc>
        <w:tc>
          <w:tcPr>
            <w:tcW w:w="1327"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基本支出</w:t>
            </w:r>
          </w:p>
        </w:tc>
        <w:tc>
          <w:tcPr>
            <w:tcW w:w="2609" w:type="dxa"/>
            <w:gridSpan w:val="6"/>
            <w:tcBorders>
              <w:top w:val="single" w:color="auto" w:sz="4" w:space="0"/>
            </w:tcBorders>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c>
          <w:tcPr>
            <w:tcW w:w="1146" w:type="dxa"/>
            <w:gridSpan w:val="3"/>
            <w:vMerge w:val="restart"/>
            <w:tcBorders>
              <w:top w:val="single" w:color="auto" w:sz="4" w:space="0"/>
              <w:right w:val="single" w:color="auto" w:sz="4" w:space="0"/>
            </w:tcBorders>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项目支出</w:t>
            </w:r>
          </w:p>
        </w:tc>
        <w:tc>
          <w:tcPr>
            <w:tcW w:w="872"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当年结余</w:t>
            </w:r>
          </w:p>
        </w:tc>
        <w:tc>
          <w:tcPr>
            <w:tcW w:w="841"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98" w:type="dxa"/>
            <w:gridSpan w:val="3"/>
            <w:vMerge w:val="continue"/>
            <w:vAlign w:val="center"/>
          </w:tcPr>
          <w:p>
            <w:pPr>
              <w:spacing w:line="320" w:lineRule="exact"/>
              <w:jc w:val="center"/>
              <w:rPr>
                <w:rFonts w:hint="eastAsia" w:eastAsia="仿宋_GB2312" w:cs="仿宋_GB2312"/>
                <w:sz w:val="24"/>
              </w:rPr>
            </w:pPr>
          </w:p>
        </w:tc>
        <w:tc>
          <w:tcPr>
            <w:tcW w:w="1410" w:type="dxa"/>
            <w:gridSpan w:val="4"/>
            <w:vMerge w:val="continue"/>
            <w:tcBorders>
              <w:right w:val="single" w:color="auto" w:sz="4" w:space="0"/>
            </w:tcBorders>
            <w:vAlign w:val="center"/>
          </w:tcPr>
          <w:p>
            <w:pPr>
              <w:autoSpaceDN w:val="0"/>
              <w:spacing w:line="320" w:lineRule="exact"/>
              <w:jc w:val="center"/>
              <w:textAlignment w:val="center"/>
              <w:rPr>
                <w:rFonts w:hint="eastAsia" w:eastAsia="仿宋_GB2312" w:cs="仿宋_GB2312"/>
                <w:sz w:val="24"/>
              </w:rPr>
            </w:pPr>
          </w:p>
        </w:tc>
        <w:tc>
          <w:tcPr>
            <w:tcW w:w="1327" w:type="dxa"/>
            <w:vMerge w:val="continue"/>
            <w:tcBorders>
              <w:left w:val="single" w:color="auto" w:sz="4" w:space="0"/>
            </w:tcBorders>
            <w:vAlign w:val="center"/>
          </w:tcPr>
          <w:p>
            <w:pPr>
              <w:autoSpaceDN w:val="0"/>
              <w:spacing w:line="320" w:lineRule="exact"/>
              <w:jc w:val="center"/>
              <w:textAlignment w:val="center"/>
              <w:rPr>
                <w:rFonts w:hint="eastAsia" w:eastAsia="仿宋_GB2312" w:cs="仿宋_GB2312"/>
                <w:sz w:val="24"/>
              </w:rPr>
            </w:pPr>
          </w:p>
        </w:tc>
        <w:tc>
          <w:tcPr>
            <w:tcW w:w="1060" w:type="dxa"/>
            <w:gridSpan w:val="3"/>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人员支出</w:t>
            </w:r>
          </w:p>
        </w:tc>
        <w:tc>
          <w:tcPr>
            <w:tcW w:w="1549" w:type="dxa"/>
            <w:gridSpan w:val="3"/>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公用支出</w:t>
            </w:r>
          </w:p>
        </w:tc>
        <w:tc>
          <w:tcPr>
            <w:tcW w:w="1146" w:type="dxa"/>
            <w:gridSpan w:val="3"/>
            <w:vMerge w:val="continue"/>
            <w:tcBorders>
              <w:right w:val="single" w:color="auto" w:sz="4" w:space="0"/>
            </w:tcBorders>
            <w:vAlign w:val="center"/>
          </w:tcPr>
          <w:p>
            <w:pPr>
              <w:autoSpaceDN w:val="0"/>
              <w:spacing w:line="320" w:lineRule="exact"/>
              <w:jc w:val="center"/>
              <w:textAlignment w:val="center"/>
              <w:rPr>
                <w:rFonts w:hint="eastAsia" w:eastAsia="仿宋_GB2312" w:cs="仿宋_GB2312"/>
                <w:sz w:val="24"/>
              </w:rPr>
            </w:pPr>
          </w:p>
        </w:tc>
        <w:tc>
          <w:tcPr>
            <w:tcW w:w="872"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eastAsia="仿宋_GB2312" w:cs="仿宋_GB2312"/>
                <w:sz w:val="24"/>
              </w:rPr>
            </w:pPr>
          </w:p>
        </w:tc>
        <w:tc>
          <w:tcPr>
            <w:tcW w:w="841" w:type="dxa"/>
            <w:vMerge w:val="continue"/>
            <w:tcBorders>
              <w:left w:val="single" w:color="auto" w:sz="4" w:space="0"/>
            </w:tcBorders>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698" w:type="dxa"/>
            <w:gridSpan w:val="3"/>
            <w:vAlign w:val="center"/>
          </w:tcPr>
          <w:p>
            <w:pPr>
              <w:spacing w:line="320" w:lineRule="exact"/>
              <w:jc w:val="left"/>
              <w:rPr>
                <w:rFonts w:hint="eastAsia" w:eastAsia="仿宋_GB2312" w:cs="仿宋_GB2312"/>
                <w:sz w:val="24"/>
              </w:rPr>
            </w:pPr>
            <w:r>
              <w:rPr>
                <w:rFonts w:hint="eastAsia" w:eastAsia="仿宋_GB2312" w:cs="仿宋_GB2312"/>
                <w:sz w:val="24"/>
              </w:rPr>
              <w:t>州建设工程质量安全监督站</w:t>
            </w:r>
          </w:p>
        </w:tc>
        <w:tc>
          <w:tcPr>
            <w:tcW w:w="1410" w:type="dxa"/>
            <w:gridSpan w:val="4"/>
            <w:tcBorders>
              <w:right w:val="single" w:color="auto" w:sz="4" w:space="0"/>
            </w:tcBorders>
            <w:vAlign w:val="bottom"/>
          </w:tcPr>
          <w:p>
            <w:pPr>
              <w:widowControl/>
              <w:jc w:val="center"/>
              <w:textAlignment w:val="bottom"/>
              <w:rPr>
                <w:rFonts w:hint="eastAsia"/>
                <w:color w:val="000000"/>
                <w:sz w:val="24"/>
                <w:lang w:bidi="ar"/>
              </w:rPr>
            </w:pPr>
            <w:r>
              <w:rPr>
                <w:color w:val="000000"/>
                <w:sz w:val="24"/>
                <w:lang w:bidi="ar"/>
              </w:rPr>
              <w:t>450.93</w:t>
            </w:r>
          </w:p>
        </w:tc>
        <w:tc>
          <w:tcPr>
            <w:tcW w:w="1327" w:type="dxa"/>
            <w:tcBorders>
              <w:left w:val="single" w:color="auto" w:sz="4" w:space="0"/>
            </w:tcBorders>
            <w:vAlign w:val="bottom"/>
          </w:tcPr>
          <w:p>
            <w:pPr>
              <w:widowControl/>
              <w:jc w:val="center"/>
              <w:textAlignment w:val="bottom"/>
              <w:rPr>
                <w:rFonts w:hint="eastAsia"/>
                <w:color w:val="000000"/>
                <w:sz w:val="24"/>
                <w:lang w:bidi="ar"/>
              </w:rPr>
            </w:pPr>
            <w:r>
              <w:rPr>
                <w:color w:val="000000"/>
                <w:sz w:val="24"/>
                <w:lang w:bidi="ar"/>
              </w:rPr>
              <w:t>448.75</w:t>
            </w:r>
          </w:p>
        </w:tc>
        <w:tc>
          <w:tcPr>
            <w:tcW w:w="1060" w:type="dxa"/>
            <w:gridSpan w:val="3"/>
            <w:vAlign w:val="bottom"/>
          </w:tcPr>
          <w:p>
            <w:pPr>
              <w:widowControl/>
              <w:jc w:val="center"/>
              <w:textAlignment w:val="bottom"/>
              <w:rPr>
                <w:rFonts w:hint="eastAsia" w:eastAsia="仿宋_GB2312"/>
                <w:sz w:val="24"/>
              </w:rPr>
            </w:pPr>
            <w:r>
              <w:rPr>
                <w:color w:val="000000"/>
                <w:sz w:val="24"/>
                <w:lang w:bidi="ar"/>
              </w:rPr>
              <w:t>420.21</w:t>
            </w:r>
          </w:p>
        </w:tc>
        <w:tc>
          <w:tcPr>
            <w:tcW w:w="1549" w:type="dxa"/>
            <w:gridSpan w:val="3"/>
            <w:vAlign w:val="bottom"/>
          </w:tcPr>
          <w:p>
            <w:pPr>
              <w:widowControl/>
              <w:jc w:val="center"/>
              <w:textAlignment w:val="bottom"/>
              <w:rPr>
                <w:rFonts w:hint="eastAsia" w:eastAsia="仿宋_GB2312"/>
                <w:sz w:val="24"/>
              </w:rPr>
            </w:pPr>
            <w:r>
              <w:rPr>
                <w:color w:val="000000"/>
                <w:sz w:val="24"/>
                <w:lang w:bidi="ar"/>
              </w:rPr>
              <w:t>28.54</w:t>
            </w:r>
          </w:p>
        </w:tc>
        <w:tc>
          <w:tcPr>
            <w:tcW w:w="1146" w:type="dxa"/>
            <w:gridSpan w:val="3"/>
            <w:vAlign w:val="bottom"/>
          </w:tcPr>
          <w:p>
            <w:pPr>
              <w:widowControl/>
              <w:jc w:val="center"/>
              <w:textAlignment w:val="bottom"/>
              <w:rPr>
                <w:rFonts w:hint="eastAsia" w:eastAsia="仿宋_GB2312"/>
                <w:sz w:val="24"/>
              </w:rPr>
            </w:pPr>
            <w:r>
              <w:rPr>
                <w:color w:val="000000"/>
                <w:sz w:val="24"/>
                <w:lang w:bidi="ar"/>
              </w:rPr>
              <w:t>2.18</w:t>
            </w:r>
          </w:p>
        </w:tc>
        <w:tc>
          <w:tcPr>
            <w:tcW w:w="872" w:type="dxa"/>
            <w:gridSpan w:val="3"/>
            <w:tcBorders>
              <w:right w:val="single" w:color="auto" w:sz="4" w:space="0"/>
            </w:tcBorders>
            <w:vAlign w:val="center"/>
          </w:tcPr>
          <w:p>
            <w:pPr>
              <w:jc w:val="center"/>
              <w:rPr>
                <w:rFonts w:hint="eastAsia" w:eastAsia="仿宋_GB2312"/>
                <w:sz w:val="24"/>
              </w:rPr>
            </w:pPr>
          </w:p>
        </w:tc>
        <w:tc>
          <w:tcPr>
            <w:tcW w:w="841" w:type="dxa"/>
            <w:tcBorders>
              <w:left w:val="single" w:color="auto" w:sz="4" w:space="0"/>
            </w:tcBorders>
            <w:vAlign w:val="center"/>
          </w:tcPr>
          <w:p>
            <w:pPr>
              <w:jc w:val="center"/>
              <w:rPr>
                <w:rFonts w:hint="eastAsia"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hint="eastAsia" w:eastAsia="仿宋_GB2312" w:cs="仿宋_GB2312"/>
                <w:sz w:val="24"/>
              </w:rPr>
            </w:pPr>
          </w:p>
        </w:tc>
        <w:tc>
          <w:tcPr>
            <w:tcW w:w="1410" w:type="dxa"/>
            <w:gridSpan w:val="4"/>
            <w:tcBorders>
              <w:right w:val="single" w:color="auto" w:sz="4" w:space="0"/>
            </w:tcBorders>
            <w:vAlign w:val="center"/>
          </w:tcPr>
          <w:p>
            <w:pPr>
              <w:jc w:val="center"/>
              <w:rPr>
                <w:rFonts w:hint="eastAsia" w:eastAsia="仿宋_GB2312"/>
                <w:sz w:val="24"/>
              </w:rPr>
            </w:pPr>
          </w:p>
        </w:tc>
        <w:tc>
          <w:tcPr>
            <w:tcW w:w="1327" w:type="dxa"/>
            <w:tcBorders>
              <w:left w:val="single" w:color="auto" w:sz="4" w:space="0"/>
            </w:tcBorders>
            <w:vAlign w:val="center"/>
          </w:tcPr>
          <w:p>
            <w:pPr>
              <w:jc w:val="center"/>
              <w:rPr>
                <w:rFonts w:hint="eastAsia" w:eastAsia="仿宋_GB2312"/>
                <w:sz w:val="24"/>
              </w:rPr>
            </w:pPr>
          </w:p>
        </w:tc>
        <w:tc>
          <w:tcPr>
            <w:tcW w:w="1060" w:type="dxa"/>
            <w:gridSpan w:val="3"/>
            <w:vAlign w:val="center"/>
          </w:tcPr>
          <w:p>
            <w:pPr>
              <w:jc w:val="center"/>
              <w:rPr>
                <w:rFonts w:hint="eastAsia" w:eastAsia="仿宋_GB2312"/>
                <w:sz w:val="24"/>
              </w:rPr>
            </w:pPr>
          </w:p>
        </w:tc>
        <w:tc>
          <w:tcPr>
            <w:tcW w:w="1549" w:type="dxa"/>
            <w:gridSpan w:val="3"/>
            <w:vAlign w:val="center"/>
          </w:tcPr>
          <w:p>
            <w:pPr>
              <w:jc w:val="center"/>
              <w:rPr>
                <w:rFonts w:hint="eastAsia" w:eastAsia="仿宋_GB2312"/>
                <w:sz w:val="24"/>
              </w:rPr>
            </w:pPr>
          </w:p>
        </w:tc>
        <w:tc>
          <w:tcPr>
            <w:tcW w:w="1146" w:type="dxa"/>
            <w:gridSpan w:val="3"/>
            <w:vAlign w:val="center"/>
          </w:tcPr>
          <w:p>
            <w:pPr>
              <w:jc w:val="center"/>
              <w:rPr>
                <w:rFonts w:hint="eastAsia" w:eastAsia="仿宋_GB2312"/>
                <w:sz w:val="24"/>
              </w:rPr>
            </w:pPr>
          </w:p>
        </w:tc>
        <w:tc>
          <w:tcPr>
            <w:tcW w:w="872" w:type="dxa"/>
            <w:gridSpan w:val="3"/>
            <w:tcBorders>
              <w:right w:val="single" w:color="auto" w:sz="4" w:space="0"/>
            </w:tcBorders>
            <w:vAlign w:val="center"/>
          </w:tcPr>
          <w:p>
            <w:pPr>
              <w:jc w:val="center"/>
              <w:rPr>
                <w:rFonts w:hint="eastAsia" w:eastAsia="仿宋_GB2312"/>
                <w:sz w:val="24"/>
              </w:rPr>
            </w:pPr>
          </w:p>
        </w:tc>
        <w:tc>
          <w:tcPr>
            <w:tcW w:w="841" w:type="dxa"/>
            <w:tcBorders>
              <w:left w:val="single" w:color="auto" w:sz="4" w:space="0"/>
            </w:tcBorders>
            <w:vAlign w:val="center"/>
          </w:tcPr>
          <w:p>
            <w:pPr>
              <w:jc w:val="center"/>
              <w:rPr>
                <w:rFonts w:hint="eastAsia"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1698" w:type="dxa"/>
            <w:gridSpan w:val="3"/>
            <w:vMerge w:val="restart"/>
            <w:vAlign w:val="center"/>
          </w:tcPr>
          <w:p>
            <w:pPr>
              <w:spacing w:line="320" w:lineRule="exact"/>
              <w:jc w:val="center"/>
              <w:rPr>
                <w:rFonts w:hint="eastAsia" w:eastAsia="仿宋_GB2312" w:cs="仿宋_GB2312"/>
                <w:sz w:val="24"/>
              </w:rPr>
            </w:pPr>
            <w:r>
              <w:rPr>
                <w:rFonts w:hint="eastAsia" w:eastAsia="仿宋_GB2312" w:cs="仿宋_GB2312"/>
                <w:sz w:val="24"/>
              </w:rPr>
              <w:t>机构名称</w:t>
            </w:r>
          </w:p>
        </w:tc>
        <w:tc>
          <w:tcPr>
            <w:tcW w:w="1410" w:type="dxa"/>
            <w:gridSpan w:val="4"/>
            <w:vMerge w:val="restart"/>
            <w:tcBorders>
              <w:right w:val="single" w:color="auto" w:sz="4" w:space="0"/>
            </w:tcBorders>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三公经费</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合计</w:t>
            </w:r>
          </w:p>
        </w:tc>
        <w:tc>
          <w:tcPr>
            <w:tcW w:w="6795" w:type="dxa"/>
            <w:gridSpan w:val="14"/>
            <w:tcBorders>
              <w:left w:val="single" w:color="auto" w:sz="4" w:space="0"/>
            </w:tcBorders>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Merge w:val="continue"/>
            <w:vAlign w:val="center"/>
          </w:tcPr>
          <w:p>
            <w:pPr>
              <w:spacing w:line="320" w:lineRule="exact"/>
              <w:jc w:val="center"/>
              <w:rPr>
                <w:rFonts w:hint="eastAsia" w:eastAsia="仿宋_GB2312" w:cs="仿宋_GB2312"/>
                <w:sz w:val="24"/>
              </w:rPr>
            </w:pPr>
          </w:p>
        </w:tc>
        <w:tc>
          <w:tcPr>
            <w:tcW w:w="1410" w:type="dxa"/>
            <w:gridSpan w:val="4"/>
            <w:vMerge w:val="continue"/>
            <w:tcBorders>
              <w:right w:val="single" w:color="auto" w:sz="4" w:space="0"/>
            </w:tcBorders>
            <w:vAlign w:val="center"/>
          </w:tcPr>
          <w:p>
            <w:pPr>
              <w:autoSpaceDN w:val="0"/>
              <w:spacing w:line="320" w:lineRule="exact"/>
              <w:jc w:val="center"/>
              <w:textAlignment w:val="center"/>
              <w:rPr>
                <w:rFonts w:hint="eastAsia" w:eastAsia="仿宋_GB2312" w:cs="仿宋_GB2312"/>
                <w:sz w:val="24"/>
              </w:rPr>
            </w:pPr>
          </w:p>
        </w:tc>
        <w:tc>
          <w:tcPr>
            <w:tcW w:w="1327" w:type="dxa"/>
            <w:tcBorders>
              <w:left w:val="single" w:color="auto" w:sz="4" w:space="0"/>
            </w:tcBorders>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公务接待费</w:t>
            </w:r>
          </w:p>
        </w:tc>
        <w:tc>
          <w:tcPr>
            <w:tcW w:w="1060" w:type="dxa"/>
            <w:gridSpan w:val="3"/>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公务用车运行维护费</w:t>
            </w:r>
          </w:p>
        </w:tc>
        <w:tc>
          <w:tcPr>
            <w:tcW w:w="1549" w:type="dxa"/>
            <w:gridSpan w:val="3"/>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公务用车购置费</w:t>
            </w:r>
          </w:p>
        </w:tc>
        <w:tc>
          <w:tcPr>
            <w:tcW w:w="2859" w:type="dxa"/>
            <w:gridSpan w:val="7"/>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因公出国（</w:t>
            </w:r>
            <w:r>
              <w:rPr>
                <w:rFonts w:hint="eastAsia" w:cs="宋体"/>
                <w:sz w:val="24"/>
              </w:rPr>
              <w:t>境）</w:t>
            </w:r>
            <w:r>
              <w:rPr>
                <w:rFonts w:hint="eastAsia" w:eastAsia="仿宋_GB2312" w:cs="仿宋_GB2312"/>
                <w:sz w:val="24"/>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698" w:type="dxa"/>
            <w:gridSpan w:val="3"/>
            <w:vAlign w:val="center"/>
          </w:tcPr>
          <w:p>
            <w:pPr>
              <w:spacing w:line="320" w:lineRule="exact"/>
              <w:jc w:val="left"/>
              <w:rPr>
                <w:rFonts w:hint="eastAsia" w:eastAsia="仿宋_GB2312" w:cs="仿宋_GB2312"/>
                <w:sz w:val="24"/>
              </w:rPr>
            </w:pPr>
            <w:r>
              <w:rPr>
                <w:rFonts w:hint="eastAsia" w:eastAsia="仿宋_GB2312" w:cs="仿宋_GB2312"/>
                <w:sz w:val="24"/>
              </w:rPr>
              <w:t>州建设工程质量安全监督站</w:t>
            </w:r>
          </w:p>
        </w:tc>
        <w:tc>
          <w:tcPr>
            <w:tcW w:w="1410" w:type="dxa"/>
            <w:gridSpan w:val="4"/>
            <w:tcBorders>
              <w:right w:val="single" w:color="auto" w:sz="4" w:space="0"/>
            </w:tcBorders>
            <w:vAlign w:val="center"/>
          </w:tcPr>
          <w:p>
            <w:pPr>
              <w:autoSpaceDN w:val="0"/>
              <w:spacing w:line="320" w:lineRule="exact"/>
              <w:jc w:val="center"/>
              <w:textAlignment w:val="center"/>
              <w:rPr>
                <w:rFonts w:hint="eastAsia" w:eastAsia="仿宋_GB2312" w:cs="仿宋_GB2312"/>
                <w:sz w:val="24"/>
              </w:rPr>
            </w:pPr>
          </w:p>
        </w:tc>
        <w:tc>
          <w:tcPr>
            <w:tcW w:w="1327" w:type="dxa"/>
            <w:tcBorders>
              <w:left w:val="single" w:color="auto" w:sz="4" w:space="0"/>
            </w:tcBorders>
            <w:vAlign w:val="center"/>
          </w:tcPr>
          <w:p>
            <w:pPr>
              <w:autoSpaceDN w:val="0"/>
              <w:spacing w:line="320" w:lineRule="exact"/>
              <w:jc w:val="center"/>
              <w:textAlignment w:val="center"/>
              <w:rPr>
                <w:rFonts w:hint="eastAsia" w:eastAsia="仿宋_GB2312" w:cs="仿宋_GB2312"/>
                <w:sz w:val="24"/>
              </w:rPr>
            </w:pPr>
          </w:p>
        </w:tc>
        <w:tc>
          <w:tcPr>
            <w:tcW w:w="1060" w:type="dxa"/>
            <w:gridSpan w:val="3"/>
            <w:vAlign w:val="center"/>
          </w:tcPr>
          <w:p>
            <w:pPr>
              <w:autoSpaceDN w:val="0"/>
              <w:spacing w:line="320" w:lineRule="exact"/>
              <w:jc w:val="center"/>
              <w:textAlignment w:val="center"/>
              <w:rPr>
                <w:rFonts w:eastAsia="仿宋_GB2312" w:cs="仿宋_GB2312"/>
                <w:sz w:val="24"/>
              </w:rPr>
            </w:pPr>
          </w:p>
        </w:tc>
        <w:tc>
          <w:tcPr>
            <w:tcW w:w="1549" w:type="dxa"/>
            <w:gridSpan w:val="3"/>
            <w:vAlign w:val="center"/>
          </w:tcPr>
          <w:p>
            <w:pPr>
              <w:autoSpaceDN w:val="0"/>
              <w:spacing w:line="320" w:lineRule="exact"/>
              <w:jc w:val="center"/>
              <w:textAlignment w:val="center"/>
              <w:rPr>
                <w:rFonts w:hint="eastAsia" w:eastAsia="仿宋_GB2312" w:cs="仿宋_GB2312"/>
                <w:sz w:val="24"/>
              </w:rPr>
            </w:pPr>
          </w:p>
        </w:tc>
        <w:tc>
          <w:tcPr>
            <w:tcW w:w="2859" w:type="dxa"/>
            <w:gridSpan w:val="7"/>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698" w:type="dxa"/>
            <w:gridSpan w:val="3"/>
            <w:vAlign w:val="center"/>
          </w:tcPr>
          <w:p>
            <w:pPr>
              <w:spacing w:line="320" w:lineRule="exact"/>
              <w:jc w:val="left"/>
              <w:rPr>
                <w:rFonts w:hint="eastAsia" w:eastAsia="仿宋_GB2312" w:cs="仿宋_GB2312"/>
                <w:sz w:val="24"/>
              </w:rPr>
            </w:pPr>
          </w:p>
        </w:tc>
        <w:tc>
          <w:tcPr>
            <w:tcW w:w="1410" w:type="dxa"/>
            <w:gridSpan w:val="4"/>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27" w:type="dxa"/>
            <w:tcBorders>
              <w:left w:val="single" w:color="auto" w:sz="4" w:space="0"/>
            </w:tcBorders>
            <w:vAlign w:val="center"/>
          </w:tcPr>
          <w:p>
            <w:pPr>
              <w:autoSpaceDN w:val="0"/>
              <w:spacing w:line="320" w:lineRule="exact"/>
              <w:jc w:val="center"/>
              <w:textAlignment w:val="center"/>
              <w:rPr>
                <w:rFonts w:hint="eastAsia" w:eastAsia="仿宋_GB2312" w:cs="仿宋_GB2312"/>
                <w:sz w:val="24"/>
              </w:rPr>
            </w:pPr>
          </w:p>
        </w:tc>
        <w:tc>
          <w:tcPr>
            <w:tcW w:w="1060" w:type="dxa"/>
            <w:gridSpan w:val="3"/>
            <w:vAlign w:val="center"/>
          </w:tcPr>
          <w:p>
            <w:pPr>
              <w:autoSpaceDN w:val="0"/>
              <w:spacing w:line="320" w:lineRule="exact"/>
              <w:jc w:val="center"/>
              <w:textAlignment w:val="center"/>
              <w:rPr>
                <w:rFonts w:hint="eastAsia" w:eastAsia="仿宋_GB2312" w:cs="仿宋_GB2312"/>
                <w:sz w:val="24"/>
              </w:rPr>
            </w:pPr>
          </w:p>
        </w:tc>
        <w:tc>
          <w:tcPr>
            <w:tcW w:w="1549" w:type="dxa"/>
            <w:gridSpan w:val="3"/>
            <w:vAlign w:val="center"/>
          </w:tcPr>
          <w:p>
            <w:pPr>
              <w:autoSpaceDN w:val="0"/>
              <w:spacing w:line="320" w:lineRule="exact"/>
              <w:jc w:val="center"/>
              <w:textAlignment w:val="center"/>
              <w:rPr>
                <w:rFonts w:hint="eastAsia" w:eastAsia="仿宋_GB2312" w:cs="仿宋_GB2312"/>
                <w:sz w:val="24"/>
              </w:rPr>
            </w:pPr>
          </w:p>
        </w:tc>
        <w:tc>
          <w:tcPr>
            <w:tcW w:w="2859" w:type="dxa"/>
            <w:gridSpan w:val="7"/>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4" w:hRule="atLeast"/>
          <w:jc w:val="center"/>
        </w:trPr>
        <w:tc>
          <w:tcPr>
            <w:tcW w:w="1698" w:type="dxa"/>
            <w:gridSpan w:val="3"/>
            <w:vMerge w:val="restart"/>
            <w:vAlign w:val="center"/>
          </w:tcPr>
          <w:p>
            <w:pPr>
              <w:spacing w:line="320" w:lineRule="exact"/>
              <w:jc w:val="center"/>
              <w:rPr>
                <w:rFonts w:hint="eastAsia" w:eastAsia="仿宋_GB2312" w:cs="仿宋_GB2312"/>
                <w:sz w:val="24"/>
              </w:rPr>
            </w:pPr>
            <w:r>
              <w:rPr>
                <w:rFonts w:hint="eastAsia" w:eastAsia="仿宋_GB2312" w:cs="仿宋_GB2312"/>
                <w:sz w:val="24"/>
              </w:rPr>
              <w:t>机构名称</w:t>
            </w:r>
          </w:p>
        </w:tc>
        <w:tc>
          <w:tcPr>
            <w:tcW w:w="1410" w:type="dxa"/>
            <w:gridSpan w:val="4"/>
            <w:vMerge w:val="restart"/>
            <w:tcBorders>
              <w:right w:val="single" w:color="auto" w:sz="4" w:space="0"/>
            </w:tcBorders>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固定资产</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合计</w:t>
            </w:r>
          </w:p>
        </w:tc>
        <w:tc>
          <w:tcPr>
            <w:tcW w:w="6795" w:type="dxa"/>
            <w:gridSpan w:val="14"/>
            <w:tcBorders>
              <w:left w:val="single" w:color="auto" w:sz="4" w:space="0"/>
            </w:tcBorders>
            <w:vAlign w:val="center"/>
          </w:tcPr>
          <w:p>
            <w:pPr>
              <w:autoSpaceDN w:val="0"/>
              <w:spacing w:line="320" w:lineRule="exact"/>
              <w:ind w:firstLine="2160" w:firstLineChars="900"/>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9" w:hRule="atLeast"/>
          <w:jc w:val="center"/>
        </w:trPr>
        <w:tc>
          <w:tcPr>
            <w:tcW w:w="1698" w:type="dxa"/>
            <w:gridSpan w:val="3"/>
            <w:vMerge w:val="continue"/>
            <w:vAlign w:val="center"/>
          </w:tcPr>
          <w:p>
            <w:pPr>
              <w:spacing w:line="320" w:lineRule="exact"/>
              <w:jc w:val="center"/>
              <w:rPr>
                <w:rFonts w:hint="eastAsia" w:eastAsia="仿宋_GB2312" w:cs="仿宋_GB2312"/>
                <w:sz w:val="24"/>
              </w:rPr>
            </w:pPr>
          </w:p>
        </w:tc>
        <w:tc>
          <w:tcPr>
            <w:tcW w:w="1410" w:type="dxa"/>
            <w:gridSpan w:val="4"/>
            <w:vMerge w:val="continue"/>
            <w:tcBorders>
              <w:right w:val="single" w:color="auto" w:sz="4" w:space="0"/>
            </w:tcBorders>
            <w:vAlign w:val="center"/>
          </w:tcPr>
          <w:p>
            <w:pPr>
              <w:autoSpaceDN w:val="0"/>
              <w:spacing w:line="320" w:lineRule="exact"/>
              <w:jc w:val="center"/>
              <w:textAlignment w:val="center"/>
              <w:rPr>
                <w:rFonts w:hint="eastAsia" w:eastAsia="仿宋_GB2312" w:cs="仿宋_GB2312"/>
                <w:sz w:val="24"/>
              </w:rPr>
            </w:pPr>
          </w:p>
        </w:tc>
        <w:tc>
          <w:tcPr>
            <w:tcW w:w="2387" w:type="dxa"/>
            <w:gridSpan w:val="4"/>
            <w:tcBorders>
              <w:left w:val="single" w:color="auto" w:sz="4" w:space="0"/>
            </w:tcBorders>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在用固定资产</w:t>
            </w:r>
          </w:p>
        </w:tc>
        <w:tc>
          <w:tcPr>
            <w:tcW w:w="3364" w:type="dxa"/>
            <w:gridSpan w:val="8"/>
            <w:tcBorders>
              <w:top w:val="single" w:color="auto" w:sz="4" w:space="0"/>
              <w:right w:val="single" w:color="auto" w:sz="4" w:space="0"/>
            </w:tcBorders>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出租固定资产</w:t>
            </w:r>
          </w:p>
        </w:tc>
        <w:tc>
          <w:tcPr>
            <w:tcW w:w="1044" w:type="dxa"/>
            <w:gridSpan w:val="2"/>
            <w:tcBorders>
              <w:top w:val="single" w:color="auto" w:sz="4" w:space="0"/>
              <w:left w:val="single" w:color="auto" w:sz="4" w:space="0"/>
            </w:tcBorders>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698" w:type="dxa"/>
            <w:gridSpan w:val="3"/>
            <w:vAlign w:val="center"/>
          </w:tcPr>
          <w:p>
            <w:pPr>
              <w:spacing w:line="320" w:lineRule="exact"/>
              <w:jc w:val="left"/>
              <w:rPr>
                <w:rFonts w:hint="eastAsia" w:eastAsia="仿宋_GB2312" w:cs="仿宋_GB2312"/>
                <w:sz w:val="24"/>
              </w:rPr>
            </w:pPr>
            <w:r>
              <w:rPr>
                <w:rFonts w:hint="eastAsia" w:eastAsia="仿宋_GB2312" w:cs="仿宋_GB2312"/>
                <w:sz w:val="24"/>
              </w:rPr>
              <w:t>州建设工程质量安全监督站</w:t>
            </w:r>
          </w:p>
        </w:tc>
        <w:tc>
          <w:tcPr>
            <w:tcW w:w="1410" w:type="dxa"/>
            <w:gridSpan w:val="4"/>
            <w:tcBorders>
              <w:right w:val="single" w:color="auto" w:sz="4" w:space="0"/>
            </w:tcBorders>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49.20</w:t>
            </w:r>
          </w:p>
        </w:tc>
        <w:tc>
          <w:tcPr>
            <w:tcW w:w="2387"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49.20</w:t>
            </w:r>
          </w:p>
        </w:tc>
        <w:tc>
          <w:tcPr>
            <w:tcW w:w="3364" w:type="dxa"/>
            <w:gridSpan w:val="8"/>
            <w:vAlign w:val="center"/>
          </w:tcPr>
          <w:p>
            <w:pPr>
              <w:autoSpaceDN w:val="0"/>
              <w:spacing w:line="320" w:lineRule="exact"/>
              <w:jc w:val="center"/>
              <w:textAlignment w:val="center"/>
              <w:rPr>
                <w:rFonts w:hint="eastAsia" w:eastAsia="仿宋_GB2312" w:cs="仿宋_GB2312"/>
                <w:sz w:val="24"/>
              </w:rPr>
            </w:pPr>
          </w:p>
        </w:tc>
        <w:tc>
          <w:tcPr>
            <w:tcW w:w="1044" w:type="dxa"/>
            <w:gridSpan w:val="2"/>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hint="eastAsia" w:eastAsia="仿宋_GB2312" w:cs="仿宋_GB2312"/>
                <w:sz w:val="24"/>
              </w:rPr>
            </w:pPr>
          </w:p>
        </w:tc>
        <w:tc>
          <w:tcPr>
            <w:tcW w:w="1410" w:type="dxa"/>
            <w:gridSpan w:val="4"/>
            <w:tcBorders>
              <w:right w:val="single" w:color="auto" w:sz="4" w:space="0"/>
            </w:tcBorders>
            <w:vAlign w:val="center"/>
          </w:tcPr>
          <w:p>
            <w:pPr>
              <w:autoSpaceDN w:val="0"/>
              <w:spacing w:line="320" w:lineRule="exact"/>
              <w:jc w:val="center"/>
              <w:textAlignment w:val="center"/>
              <w:rPr>
                <w:rFonts w:hint="eastAsia" w:eastAsia="仿宋_GB2312" w:cs="仿宋_GB2312"/>
                <w:sz w:val="24"/>
              </w:rPr>
            </w:pPr>
          </w:p>
        </w:tc>
        <w:tc>
          <w:tcPr>
            <w:tcW w:w="2387" w:type="dxa"/>
            <w:gridSpan w:val="4"/>
            <w:tcBorders>
              <w:left w:val="single" w:color="auto" w:sz="4" w:space="0"/>
            </w:tcBorders>
            <w:vAlign w:val="center"/>
          </w:tcPr>
          <w:p>
            <w:pPr>
              <w:autoSpaceDN w:val="0"/>
              <w:spacing w:line="320" w:lineRule="exact"/>
              <w:jc w:val="center"/>
              <w:textAlignment w:val="center"/>
              <w:rPr>
                <w:rFonts w:hint="eastAsia" w:eastAsia="仿宋_GB2312" w:cs="仿宋_GB2312"/>
                <w:sz w:val="24"/>
              </w:rPr>
            </w:pPr>
          </w:p>
        </w:tc>
        <w:tc>
          <w:tcPr>
            <w:tcW w:w="3364" w:type="dxa"/>
            <w:gridSpan w:val="8"/>
            <w:vAlign w:val="center"/>
          </w:tcPr>
          <w:p>
            <w:pPr>
              <w:autoSpaceDN w:val="0"/>
              <w:spacing w:line="320" w:lineRule="exact"/>
              <w:jc w:val="center"/>
              <w:textAlignment w:val="center"/>
              <w:rPr>
                <w:rFonts w:hint="eastAsia" w:eastAsia="仿宋_GB2312" w:cs="仿宋_GB2312"/>
                <w:sz w:val="24"/>
              </w:rPr>
            </w:pPr>
          </w:p>
        </w:tc>
        <w:tc>
          <w:tcPr>
            <w:tcW w:w="1044" w:type="dxa"/>
            <w:gridSpan w:val="2"/>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5" w:hRule="atLeast"/>
          <w:jc w:val="center"/>
        </w:trPr>
        <w:tc>
          <w:tcPr>
            <w:tcW w:w="9903" w:type="dxa"/>
            <w:gridSpan w:val="21"/>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三、单位整体支出绩效自评情况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7" w:hRule="atLeast"/>
          <w:jc w:val="center"/>
        </w:trPr>
        <w:tc>
          <w:tcPr>
            <w:tcW w:w="741" w:type="dxa"/>
            <w:vMerge w:val="restart"/>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整体支出绩效定性任务及实施计划完成情况</w:t>
            </w:r>
          </w:p>
        </w:tc>
        <w:tc>
          <w:tcPr>
            <w:tcW w:w="4660" w:type="dxa"/>
            <w:gridSpan w:val="9"/>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预期任务</w:t>
            </w:r>
          </w:p>
        </w:tc>
        <w:tc>
          <w:tcPr>
            <w:tcW w:w="4502" w:type="dxa"/>
            <w:gridSpan w:val="11"/>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55" w:hRule="atLeast"/>
          <w:jc w:val="center"/>
        </w:trPr>
        <w:tc>
          <w:tcPr>
            <w:tcW w:w="741" w:type="dxa"/>
            <w:vMerge w:val="continue"/>
            <w:vAlign w:val="center"/>
          </w:tcPr>
          <w:p>
            <w:pPr>
              <w:spacing w:line="320" w:lineRule="exact"/>
              <w:rPr>
                <w:rFonts w:hint="eastAsia" w:eastAsia="仿宋_GB2312" w:cs="仿宋_GB2312"/>
                <w:sz w:val="24"/>
              </w:rPr>
            </w:pPr>
          </w:p>
        </w:tc>
        <w:tc>
          <w:tcPr>
            <w:tcW w:w="4660" w:type="dxa"/>
            <w:gridSpan w:val="9"/>
            <w:vAlign w:val="center"/>
          </w:tcPr>
          <w:p>
            <w:pPr>
              <w:rPr>
                <w:rFonts w:hint="eastAsia"/>
              </w:rPr>
            </w:pPr>
            <w:r>
              <w:rPr>
                <w:rFonts w:hint="eastAsia" w:eastAsia="仿宋_GB2312" w:cs="仿宋_GB2312"/>
                <w:sz w:val="24"/>
              </w:rPr>
              <w:t>坚决杜绝较大以上质量安全责任事故，力争不发生一般质量</w:t>
            </w:r>
            <w:r>
              <w:rPr>
                <w:rFonts w:hint="eastAsia" w:eastAsia="仿宋_GB2312" w:cs="仿宋_GB2312"/>
                <w:sz w:val="24"/>
                <w:lang w:val="en-US" w:eastAsia="zh-CN"/>
              </w:rPr>
              <w:t>安全</w:t>
            </w:r>
            <w:r>
              <w:rPr>
                <w:rFonts w:hint="eastAsia" w:eastAsia="仿宋_GB2312" w:cs="仿宋_GB2312"/>
                <w:color w:val="auto"/>
                <w:sz w:val="24"/>
              </w:rPr>
              <w:t>责任事故，确保全州建设工程质量安全形势</w:t>
            </w:r>
            <w:r>
              <w:rPr>
                <w:rFonts w:hint="eastAsia" w:eastAsia="仿宋_GB2312" w:cs="仿宋_GB2312"/>
                <w:sz w:val="24"/>
              </w:rPr>
              <w:t>平稳可控。</w:t>
            </w:r>
            <w:r>
              <w:rPr>
                <w:rFonts w:hint="eastAsia" w:eastAsia="仿宋_GB2312" w:cs="仿宋_GB2312"/>
                <w:sz w:val="24"/>
              </w:rPr>
              <w:tab/>
            </w:r>
            <w:r>
              <w:rPr>
                <w:rFonts w:hint="eastAsia" w:eastAsia="仿宋_GB2312" w:cs="仿宋_GB2312"/>
                <w:sz w:val="24"/>
              </w:rPr>
              <w:tab/>
            </w:r>
            <w:r>
              <w:rPr>
                <w:rFonts w:hint="eastAsia" w:eastAsia="仿宋_GB2312" w:cs="仿宋_GB2312"/>
                <w:sz w:val="24"/>
              </w:rPr>
              <w:tab/>
            </w:r>
          </w:p>
        </w:tc>
        <w:tc>
          <w:tcPr>
            <w:tcW w:w="4502" w:type="dxa"/>
            <w:gridSpan w:val="11"/>
            <w:vAlign w:val="center"/>
          </w:tcPr>
          <w:p>
            <w:pPr>
              <w:rPr>
                <w:rFonts w:hint="eastAsia" w:eastAsia="仿宋_GB2312" w:cs="仿宋_GB2312"/>
                <w:sz w:val="24"/>
              </w:rPr>
            </w:pPr>
            <w:r>
              <w:rPr>
                <w:rFonts w:hint="eastAsia" w:eastAsia="仿宋_GB2312" w:cs="仿宋_GB2312"/>
                <w:sz w:val="24"/>
              </w:rPr>
              <w:t>全州直管工程未出现重大质量安全事故；</w:t>
            </w:r>
          </w:p>
          <w:p>
            <w:pPr>
              <w:rPr>
                <w:rFonts w:hint="eastAsia"/>
              </w:rPr>
            </w:pPr>
            <w:r>
              <w:rPr>
                <w:rFonts w:hint="eastAsia" w:eastAsia="仿宋_GB2312" w:cs="仿宋_GB2312"/>
                <w:sz w:val="24"/>
              </w:rPr>
              <w:t>2022年重点工作已完成；部门总体支出控制在预算内；做好住宅类工程分户验收工作，本年度业主为房屋质量问题集体上访和投诉事件明显减少，维护了社会稳定；全年州直管工程对生态环境未造成不利影响；全年州直管工程安全优质施工，促进了社会良性发展；工程竣工验收备案率达95%；强化工程质量监管，创建质量安全标准示范工地2个；对25家检测机构进行全面检查；强化安全生产监管，严格开展施工现场安全隐患排查整治工作，全州共排查隐患1897处，其中重大隐患25处已经全部挂牌督办落实到位；开展行业从业人员培训考核工作，增强了行业从业人员的专业技术水平和能力；开展建筑施工应急救援演练，提升了全州建筑施工应急处置能力，强化了日常事故防控和救援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7" w:hRule="atLeast"/>
          <w:jc w:val="center"/>
        </w:trPr>
        <w:tc>
          <w:tcPr>
            <w:tcW w:w="741" w:type="dxa"/>
            <w:vMerge w:val="restart"/>
            <w:vAlign w:val="center"/>
          </w:tcPr>
          <w:p>
            <w:pPr>
              <w:autoSpaceDN w:val="0"/>
              <w:spacing w:line="320" w:lineRule="exact"/>
              <w:jc w:val="center"/>
              <w:textAlignment w:val="cente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utoSpaceDN w:val="0"/>
              <w:spacing w:line="320" w:lineRule="exact"/>
              <w:jc w:val="center"/>
              <w:textAlignment w:val="center"/>
              <w:rPr>
                <w:rFonts w:hint="eastAsia"/>
              </w:rPr>
            </w:pPr>
          </w:p>
          <w:p>
            <w:pPr>
              <w:autoSpaceDN w:val="0"/>
              <w:spacing w:line="320" w:lineRule="exact"/>
              <w:jc w:val="center"/>
              <w:textAlignment w:val="center"/>
              <w:rPr>
                <w:rFonts w:hint="eastAsia" w:ascii="仿宋" w:hAnsi="仿宋" w:eastAsia="仿宋" w:cs="仿宋"/>
              </w:rPr>
            </w:pPr>
            <w:r>
              <w:rPr>
                <w:rFonts w:hint="eastAsia" w:ascii="仿宋" w:hAnsi="仿宋" w:eastAsia="仿宋" w:cs="仿宋"/>
              </w:rPr>
              <w:t>整体支出绩效定量任务及实施计划完成情况</w:t>
            </w:r>
          </w:p>
          <w:p>
            <w:pPr>
              <w:autoSpaceDN w:val="0"/>
              <w:spacing w:line="320" w:lineRule="exact"/>
              <w:jc w:val="center"/>
              <w:textAlignment w:val="center"/>
              <w:rPr>
                <w:rFonts w:hint="eastAsia"/>
              </w:rPr>
            </w:pPr>
          </w:p>
          <w:p>
            <w:pPr>
              <w:autoSpaceDN w:val="0"/>
              <w:spacing w:line="320" w:lineRule="exact"/>
              <w:jc w:val="center"/>
              <w:textAlignment w:val="cente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utoSpaceDN w:val="0"/>
              <w:spacing w:line="320" w:lineRule="exact"/>
              <w:jc w:val="center"/>
              <w:textAlignment w:val="center"/>
              <w:rPr>
                <w:rFonts w:hint="eastAsia"/>
              </w:rPr>
            </w:pPr>
          </w:p>
          <w:p>
            <w:pPr>
              <w:autoSpaceDN w:val="0"/>
              <w:spacing w:line="320" w:lineRule="exact"/>
              <w:jc w:val="center"/>
              <w:textAlignment w:val="center"/>
              <w:rPr>
                <w:rFonts w:hint="eastAsia"/>
              </w:rPr>
            </w:pPr>
          </w:p>
          <w:p>
            <w:pPr>
              <w:rPr>
                <w:rFonts w:hint="eastAsia"/>
              </w:rPr>
            </w:pPr>
          </w:p>
          <w:p>
            <w:pPr>
              <w:rPr>
                <w:rFonts w:hint="eastAsia"/>
              </w:rPr>
            </w:pPr>
          </w:p>
          <w:p>
            <w:pPr>
              <w:autoSpaceDN w:val="0"/>
              <w:spacing w:line="320" w:lineRule="exact"/>
              <w:jc w:val="center"/>
              <w:textAlignment w:val="center"/>
              <w:rPr>
                <w:rFonts w:hint="eastAsia"/>
              </w:rPr>
            </w:pPr>
          </w:p>
          <w:p>
            <w:pPr>
              <w:autoSpaceDN w:val="0"/>
              <w:spacing w:line="320" w:lineRule="exact"/>
              <w:jc w:val="center"/>
              <w:textAlignment w:val="center"/>
              <w:rPr>
                <w:rFonts w:hint="eastAsia"/>
              </w:rPr>
            </w:pPr>
            <w:r>
              <w:rPr>
                <w:rFonts w:hint="eastAsia"/>
              </w:rPr>
              <w:t>整体支出绩效定量任务及实施计划完成情况</w:t>
            </w:r>
          </w:p>
          <w:p>
            <w:pPr>
              <w:rPr>
                <w:rFonts w:hint="eastAsia"/>
              </w:rPr>
            </w:pPr>
          </w:p>
        </w:tc>
        <w:tc>
          <w:tcPr>
            <w:tcW w:w="2090" w:type="dxa"/>
            <w:gridSpan w:val="5"/>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评价内容</w:t>
            </w:r>
          </w:p>
        </w:tc>
        <w:tc>
          <w:tcPr>
            <w:tcW w:w="2570" w:type="dxa"/>
            <w:gridSpan w:val="4"/>
            <w:tcBorders>
              <w:right w:val="single" w:color="auto" w:sz="4" w:space="0"/>
            </w:tcBorders>
            <w:vAlign w:val="center"/>
          </w:tcPr>
          <w:p>
            <w:pPr>
              <w:autoSpaceDN w:val="0"/>
              <w:spacing w:line="320" w:lineRule="exact"/>
              <w:jc w:val="center"/>
              <w:textAlignment w:val="center"/>
              <w:rPr>
                <w:rFonts w:hint="eastAsia" w:eastAsia="仿宋_GB2312" w:cs="仿宋_GB2312"/>
                <w:sz w:val="24"/>
              </w:rPr>
            </w:pPr>
          </w:p>
        </w:tc>
        <w:tc>
          <w:tcPr>
            <w:tcW w:w="2362" w:type="dxa"/>
            <w:gridSpan w:val="6"/>
            <w:tcBorders>
              <w:left w:val="single" w:color="auto" w:sz="4" w:space="0"/>
            </w:tcBorders>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绩效任务</w:t>
            </w:r>
          </w:p>
        </w:tc>
        <w:tc>
          <w:tcPr>
            <w:tcW w:w="2140" w:type="dxa"/>
            <w:gridSpan w:val="5"/>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4" w:hRule="atLeast"/>
          <w:jc w:val="center"/>
        </w:trPr>
        <w:tc>
          <w:tcPr>
            <w:tcW w:w="741" w:type="dxa"/>
            <w:vMerge w:val="continue"/>
            <w:vAlign w:val="center"/>
          </w:tcPr>
          <w:p>
            <w:pPr>
              <w:spacing w:line="320" w:lineRule="exact"/>
              <w:rPr>
                <w:rFonts w:hint="eastAsia" w:eastAsia="仿宋_GB2312" w:cs="仿宋_GB2312"/>
                <w:sz w:val="24"/>
              </w:rPr>
            </w:pPr>
          </w:p>
        </w:tc>
        <w:tc>
          <w:tcPr>
            <w:tcW w:w="1350" w:type="dxa"/>
            <w:gridSpan w:val="4"/>
            <w:vMerge w:val="restart"/>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产出任务</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（部门工作实绩，包含上级部门和州委州政府布置的重点工作、实事任务等，根据部门实际进行调整细化）</w:t>
            </w:r>
          </w:p>
        </w:tc>
        <w:tc>
          <w:tcPr>
            <w:tcW w:w="740" w:type="dxa"/>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数量、质量、时效、成本指标</w:t>
            </w:r>
          </w:p>
          <w:p>
            <w:pPr>
              <w:autoSpaceDN w:val="0"/>
              <w:spacing w:line="320" w:lineRule="exact"/>
              <w:jc w:val="center"/>
              <w:textAlignment w:val="center"/>
              <w:rPr>
                <w:rFonts w:hint="eastAsia" w:eastAsia="仿宋_GB2312" w:cs="仿宋_GB2312"/>
                <w:sz w:val="24"/>
              </w:rPr>
            </w:pPr>
          </w:p>
        </w:tc>
        <w:tc>
          <w:tcPr>
            <w:tcW w:w="2570" w:type="dxa"/>
            <w:gridSpan w:val="4"/>
            <w:tcBorders>
              <w:right w:val="single" w:color="auto" w:sz="4" w:space="0"/>
            </w:tcBorders>
            <w:vAlign w:val="center"/>
          </w:tcPr>
          <w:p>
            <w:pPr>
              <w:widowControl/>
              <w:jc w:val="left"/>
              <w:textAlignment w:val="center"/>
              <w:rPr>
                <w:rFonts w:hint="eastAsia" w:eastAsia="仿宋_GB2312" w:cs="仿宋_GB2312"/>
                <w:sz w:val="24"/>
              </w:rPr>
            </w:pPr>
            <w:r>
              <w:rPr>
                <w:rFonts w:hint="eastAsia" w:eastAsia="仿宋_GB2312" w:cs="仿宋_GB2312"/>
                <w:sz w:val="24"/>
              </w:rPr>
              <w:t>指标1：消防验收监管</w:t>
            </w:r>
          </w:p>
        </w:tc>
        <w:tc>
          <w:tcPr>
            <w:tcW w:w="2362" w:type="dxa"/>
            <w:gridSpan w:val="6"/>
            <w:tcBorders>
              <w:left w:val="single" w:color="auto" w:sz="4" w:space="0"/>
            </w:tcBorders>
            <w:vAlign w:val="center"/>
          </w:tcPr>
          <w:p>
            <w:pPr>
              <w:widowControl/>
              <w:jc w:val="left"/>
              <w:textAlignment w:val="center"/>
              <w:rPr>
                <w:rFonts w:hint="eastAsia" w:eastAsia="仿宋_GB2312" w:cs="仿宋_GB2312"/>
                <w:sz w:val="24"/>
              </w:rPr>
            </w:pPr>
            <w:r>
              <w:rPr>
                <w:rFonts w:hint="eastAsia" w:eastAsia="仿宋_GB2312" w:cs="仿宋_GB2312"/>
                <w:sz w:val="24"/>
              </w:rPr>
              <w:t>≧20</w:t>
            </w:r>
          </w:p>
        </w:tc>
        <w:tc>
          <w:tcPr>
            <w:tcW w:w="2140" w:type="dxa"/>
            <w:gridSpan w:val="5"/>
            <w:vAlign w:val="center"/>
          </w:tcPr>
          <w:p>
            <w:pPr>
              <w:widowControl/>
              <w:jc w:val="left"/>
              <w:textAlignment w:val="center"/>
              <w:rPr>
                <w:rFonts w:hint="eastAsia" w:eastAsia="仿宋_GB2312" w:cs="仿宋_GB2312"/>
                <w:sz w:val="24"/>
                <w:lang w:val="en-US" w:eastAsia="zh-CN"/>
              </w:rPr>
            </w:pPr>
            <w:r>
              <w:rPr>
                <w:rFonts w:hint="eastAsia" w:eastAsia="仿宋_GB2312" w:cs="仿宋_GB2312"/>
                <w:sz w:val="24"/>
              </w:rPr>
              <w:t>20</w:t>
            </w:r>
            <w:r>
              <w:rPr>
                <w:rFonts w:hint="eastAsia" w:eastAsia="仿宋_GB2312" w:cs="仿宋_GB2312"/>
                <w:sz w:val="24"/>
                <w:lang w:val="en-US" w:eastAsia="zh-CN"/>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741" w:type="dxa"/>
            <w:vMerge w:val="continue"/>
            <w:vAlign w:val="center"/>
          </w:tcPr>
          <w:p>
            <w:pPr>
              <w:spacing w:line="320" w:lineRule="exact"/>
              <w:rPr>
                <w:rFonts w:hint="eastAsia" w:eastAsia="仿宋_GB2312" w:cs="仿宋_GB2312"/>
                <w:sz w:val="24"/>
              </w:rPr>
            </w:pPr>
          </w:p>
        </w:tc>
        <w:tc>
          <w:tcPr>
            <w:tcW w:w="1350" w:type="dxa"/>
            <w:gridSpan w:val="4"/>
            <w:vMerge w:val="continue"/>
            <w:vAlign w:val="center"/>
          </w:tcPr>
          <w:p>
            <w:pPr>
              <w:autoSpaceDN w:val="0"/>
              <w:spacing w:line="320" w:lineRule="exact"/>
              <w:jc w:val="center"/>
              <w:textAlignment w:val="center"/>
              <w:rPr>
                <w:rFonts w:hint="eastAsia" w:eastAsia="仿宋_GB2312" w:cs="仿宋_GB2312"/>
                <w:sz w:val="24"/>
              </w:rPr>
            </w:pPr>
          </w:p>
        </w:tc>
        <w:tc>
          <w:tcPr>
            <w:tcW w:w="740" w:type="dxa"/>
            <w:vMerge w:val="continue"/>
            <w:vAlign w:val="center"/>
          </w:tcPr>
          <w:p>
            <w:pPr>
              <w:autoSpaceDN w:val="0"/>
              <w:spacing w:line="320" w:lineRule="exact"/>
              <w:jc w:val="center"/>
              <w:textAlignment w:val="center"/>
              <w:rPr>
                <w:rFonts w:hint="eastAsia" w:eastAsia="仿宋_GB2312" w:cs="仿宋_GB2312"/>
                <w:sz w:val="24"/>
              </w:rPr>
            </w:pPr>
          </w:p>
        </w:tc>
        <w:tc>
          <w:tcPr>
            <w:tcW w:w="2570" w:type="dxa"/>
            <w:gridSpan w:val="4"/>
            <w:tcBorders>
              <w:right w:val="single" w:color="auto" w:sz="4" w:space="0"/>
            </w:tcBorders>
            <w:vAlign w:val="center"/>
          </w:tcPr>
          <w:p>
            <w:pPr>
              <w:widowControl/>
              <w:jc w:val="left"/>
              <w:textAlignment w:val="center"/>
              <w:rPr>
                <w:rFonts w:hint="eastAsia" w:eastAsia="仿宋_GB2312" w:cs="仿宋_GB2312"/>
                <w:sz w:val="24"/>
              </w:rPr>
            </w:pPr>
            <w:r>
              <w:rPr>
                <w:rFonts w:hint="eastAsia" w:eastAsia="仿宋_GB2312" w:cs="仿宋_GB2312"/>
                <w:sz w:val="24"/>
              </w:rPr>
              <w:t>指标2：工程安全治理</w:t>
            </w:r>
          </w:p>
        </w:tc>
        <w:tc>
          <w:tcPr>
            <w:tcW w:w="2362" w:type="dxa"/>
            <w:gridSpan w:val="6"/>
            <w:tcBorders>
              <w:left w:val="single" w:color="auto" w:sz="4" w:space="0"/>
            </w:tcBorders>
            <w:vAlign w:val="center"/>
          </w:tcPr>
          <w:p>
            <w:pPr>
              <w:widowControl/>
              <w:jc w:val="left"/>
              <w:textAlignment w:val="center"/>
              <w:rPr>
                <w:rFonts w:hint="eastAsia" w:eastAsia="仿宋_GB2312" w:cs="仿宋_GB2312"/>
                <w:sz w:val="24"/>
              </w:rPr>
            </w:pPr>
            <w:r>
              <w:rPr>
                <w:rFonts w:hint="eastAsia" w:eastAsia="仿宋_GB2312" w:cs="仿宋_GB2312"/>
                <w:sz w:val="24"/>
              </w:rPr>
              <w:t>开展安全生产标准化考评20次</w:t>
            </w:r>
          </w:p>
        </w:tc>
        <w:tc>
          <w:tcPr>
            <w:tcW w:w="2140" w:type="dxa"/>
            <w:gridSpan w:val="5"/>
            <w:vAlign w:val="center"/>
          </w:tcPr>
          <w:p>
            <w:pPr>
              <w:widowControl/>
              <w:jc w:val="left"/>
              <w:textAlignment w:val="center"/>
              <w:rPr>
                <w:rFonts w:hint="eastAsia" w:eastAsia="仿宋_GB2312" w:cs="仿宋_GB2312"/>
                <w:sz w:val="24"/>
              </w:rPr>
            </w:pPr>
            <w:r>
              <w:rPr>
                <w:rFonts w:hint="eastAsia" w:eastAsia="仿宋_GB2312" w:cs="仿宋_GB2312"/>
                <w:sz w:val="24"/>
              </w:rPr>
              <w:t>已开展25次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7" w:hRule="atLeast"/>
          <w:jc w:val="center"/>
        </w:trPr>
        <w:tc>
          <w:tcPr>
            <w:tcW w:w="741" w:type="dxa"/>
            <w:vMerge w:val="continue"/>
            <w:vAlign w:val="center"/>
          </w:tcPr>
          <w:p>
            <w:pPr>
              <w:spacing w:line="320" w:lineRule="exact"/>
              <w:rPr>
                <w:rFonts w:hint="eastAsia" w:eastAsia="仿宋_GB2312" w:cs="仿宋_GB2312"/>
                <w:sz w:val="24"/>
              </w:rPr>
            </w:pPr>
          </w:p>
        </w:tc>
        <w:tc>
          <w:tcPr>
            <w:tcW w:w="1350" w:type="dxa"/>
            <w:gridSpan w:val="4"/>
            <w:vMerge w:val="continue"/>
            <w:vAlign w:val="center"/>
          </w:tcPr>
          <w:p>
            <w:pPr>
              <w:autoSpaceDN w:val="0"/>
              <w:spacing w:line="320" w:lineRule="exact"/>
              <w:jc w:val="center"/>
              <w:textAlignment w:val="center"/>
              <w:rPr>
                <w:rFonts w:hint="eastAsia" w:eastAsia="仿宋_GB2312" w:cs="仿宋_GB2312"/>
                <w:sz w:val="24"/>
              </w:rPr>
            </w:pPr>
          </w:p>
        </w:tc>
        <w:tc>
          <w:tcPr>
            <w:tcW w:w="740" w:type="dxa"/>
            <w:vMerge w:val="continue"/>
            <w:vAlign w:val="center"/>
          </w:tcPr>
          <w:p>
            <w:pPr>
              <w:autoSpaceDN w:val="0"/>
              <w:spacing w:line="320" w:lineRule="exact"/>
              <w:jc w:val="center"/>
              <w:textAlignment w:val="center"/>
              <w:rPr>
                <w:rFonts w:hint="eastAsia" w:eastAsia="仿宋_GB2312" w:cs="仿宋_GB2312"/>
                <w:sz w:val="24"/>
              </w:rPr>
            </w:pPr>
          </w:p>
        </w:tc>
        <w:tc>
          <w:tcPr>
            <w:tcW w:w="2570" w:type="dxa"/>
            <w:gridSpan w:val="4"/>
            <w:tcBorders>
              <w:right w:val="single" w:color="auto" w:sz="4" w:space="0"/>
            </w:tcBorders>
            <w:vAlign w:val="center"/>
          </w:tcPr>
          <w:p>
            <w:pPr>
              <w:widowControl/>
              <w:jc w:val="left"/>
              <w:textAlignment w:val="center"/>
              <w:rPr>
                <w:rFonts w:eastAsia="仿宋_GB2312" w:cs="仿宋_GB2312"/>
                <w:sz w:val="24"/>
              </w:rPr>
            </w:pPr>
            <w:r>
              <w:rPr>
                <w:rFonts w:hint="eastAsia" w:eastAsia="仿宋_GB2312" w:cs="仿宋_GB2312"/>
                <w:sz w:val="24"/>
              </w:rPr>
              <w:t>指标3：工程质量专项整治</w:t>
            </w:r>
          </w:p>
        </w:tc>
        <w:tc>
          <w:tcPr>
            <w:tcW w:w="2362" w:type="dxa"/>
            <w:gridSpan w:val="6"/>
            <w:tcBorders>
              <w:left w:val="single" w:color="auto" w:sz="4" w:space="0"/>
            </w:tcBorders>
            <w:vAlign w:val="center"/>
          </w:tcPr>
          <w:p>
            <w:pPr>
              <w:widowControl/>
              <w:jc w:val="left"/>
              <w:textAlignment w:val="center"/>
              <w:rPr>
                <w:rFonts w:hint="eastAsia" w:eastAsia="仿宋_GB2312" w:cs="仿宋_GB2312"/>
                <w:sz w:val="24"/>
              </w:rPr>
            </w:pPr>
            <w:r>
              <w:rPr>
                <w:rFonts w:hint="eastAsia" w:eastAsia="仿宋_GB2312" w:cs="仿宋_GB2312"/>
                <w:sz w:val="24"/>
              </w:rPr>
              <w:t>工程质量专项整治检査项目次数不少于40次</w:t>
            </w:r>
          </w:p>
        </w:tc>
        <w:tc>
          <w:tcPr>
            <w:tcW w:w="2140" w:type="dxa"/>
            <w:gridSpan w:val="5"/>
            <w:vAlign w:val="center"/>
          </w:tcPr>
          <w:p>
            <w:pPr>
              <w:widowControl/>
              <w:jc w:val="left"/>
              <w:textAlignment w:val="center"/>
              <w:rPr>
                <w:rFonts w:eastAsia="仿宋_GB2312" w:cs="仿宋_GB2312"/>
                <w:sz w:val="24"/>
              </w:rPr>
            </w:pPr>
            <w:r>
              <w:rPr>
                <w:rFonts w:hint="eastAsia" w:eastAsia="仿宋_GB2312" w:cs="仿宋_GB2312"/>
                <w:sz w:val="24"/>
              </w:rPr>
              <w:t>已开展43次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7" w:hRule="atLeast"/>
          <w:jc w:val="center"/>
        </w:trPr>
        <w:tc>
          <w:tcPr>
            <w:tcW w:w="741" w:type="dxa"/>
            <w:vMerge w:val="continue"/>
            <w:vAlign w:val="center"/>
          </w:tcPr>
          <w:p>
            <w:pPr>
              <w:spacing w:line="320" w:lineRule="exact"/>
              <w:rPr>
                <w:rFonts w:hint="eastAsia" w:eastAsia="仿宋_GB2312" w:cs="仿宋_GB2312"/>
                <w:sz w:val="24"/>
              </w:rPr>
            </w:pPr>
          </w:p>
        </w:tc>
        <w:tc>
          <w:tcPr>
            <w:tcW w:w="1350" w:type="dxa"/>
            <w:gridSpan w:val="4"/>
            <w:vMerge w:val="continue"/>
            <w:vAlign w:val="center"/>
          </w:tcPr>
          <w:p>
            <w:pPr>
              <w:autoSpaceDN w:val="0"/>
              <w:spacing w:line="320" w:lineRule="exact"/>
              <w:jc w:val="center"/>
              <w:textAlignment w:val="center"/>
              <w:rPr>
                <w:rFonts w:hint="eastAsia" w:eastAsia="仿宋_GB2312" w:cs="仿宋_GB2312"/>
                <w:sz w:val="24"/>
              </w:rPr>
            </w:pPr>
          </w:p>
        </w:tc>
        <w:tc>
          <w:tcPr>
            <w:tcW w:w="740" w:type="dxa"/>
            <w:vMerge w:val="continue"/>
            <w:vAlign w:val="center"/>
          </w:tcPr>
          <w:p>
            <w:pPr>
              <w:autoSpaceDN w:val="0"/>
              <w:spacing w:line="320" w:lineRule="exact"/>
              <w:jc w:val="center"/>
              <w:textAlignment w:val="center"/>
              <w:rPr>
                <w:rFonts w:hint="eastAsia" w:eastAsia="仿宋_GB2312" w:cs="仿宋_GB2312"/>
                <w:sz w:val="24"/>
              </w:rPr>
            </w:pPr>
          </w:p>
        </w:tc>
        <w:tc>
          <w:tcPr>
            <w:tcW w:w="2570" w:type="dxa"/>
            <w:gridSpan w:val="4"/>
            <w:tcBorders>
              <w:right w:val="single" w:color="auto" w:sz="4" w:space="0"/>
            </w:tcBorders>
            <w:vAlign w:val="center"/>
          </w:tcPr>
          <w:p>
            <w:pPr>
              <w:widowControl/>
              <w:jc w:val="left"/>
              <w:textAlignment w:val="center"/>
              <w:rPr>
                <w:rFonts w:hint="eastAsia" w:eastAsia="仿宋_GB2312" w:cs="仿宋_GB2312"/>
                <w:sz w:val="24"/>
              </w:rPr>
            </w:pPr>
            <w:r>
              <w:rPr>
                <w:rFonts w:hint="eastAsia" w:eastAsia="仿宋_GB2312" w:cs="仿宋_GB2312"/>
                <w:sz w:val="24"/>
              </w:rPr>
              <w:t>指标4：重点工作完成时间</w:t>
            </w:r>
          </w:p>
        </w:tc>
        <w:tc>
          <w:tcPr>
            <w:tcW w:w="2362" w:type="dxa"/>
            <w:gridSpan w:val="6"/>
            <w:tcBorders>
              <w:left w:val="single" w:color="auto" w:sz="4" w:space="0"/>
            </w:tcBorders>
            <w:vAlign w:val="center"/>
          </w:tcPr>
          <w:p>
            <w:pPr>
              <w:widowControl/>
              <w:jc w:val="center"/>
              <w:textAlignment w:val="center"/>
              <w:rPr>
                <w:rFonts w:eastAsia="仿宋_GB2312" w:cs="仿宋_GB2312"/>
                <w:sz w:val="24"/>
              </w:rPr>
            </w:pPr>
            <w:r>
              <w:rPr>
                <w:rFonts w:hint="eastAsia" w:eastAsia="仿宋_GB2312" w:cs="仿宋_GB2312"/>
                <w:sz w:val="24"/>
              </w:rPr>
              <w:t>2022年</w:t>
            </w:r>
          </w:p>
        </w:tc>
        <w:tc>
          <w:tcPr>
            <w:tcW w:w="2140" w:type="dxa"/>
            <w:gridSpan w:val="5"/>
            <w:vAlign w:val="center"/>
          </w:tcPr>
          <w:p>
            <w:pPr>
              <w:widowControl/>
              <w:jc w:val="left"/>
              <w:textAlignment w:val="center"/>
              <w:rPr>
                <w:rFonts w:eastAsia="仿宋_GB2312" w:cs="仿宋_GB2312"/>
                <w:sz w:val="24"/>
              </w:rPr>
            </w:pPr>
            <w:r>
              <w:rPr>
                <w:rFonts w:hint="eastAsia" w:eastAsia="仿宋_GB2312" w:cs="仿宋_GB2312"/>
                <w:sz w:val="24"/>
              </w:rPr>
              <w:t>完成及时率100%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7" w:hRule="atLeast"/>
          <w:jc w:val="center"/>
        </w:trPr>
        <w:tc>
          <w:tcPr>
            <w:tcW w:w="741" w:type="dxa"/>
            <w:vMerge w:val="continue"/>
            <w:vAlign w:val="center"/>
          </w:tcPr>
          <w:p>
            <w:pPr>
              <w:spacing w:line="320" w:lineRule="exact"/>
              <w:rPr>
                <w:rFonts w:hint="eastAsia" w:eastAsia="仿宋_GB2312" w:cs="仿宋_GB2312"/>
                <w:sz w:val="24"/>
              </w:rPr>
            </w:pPr>
          </w:p>
        </w:tc>
        <w:tc>
          <w:tcPr>
            <w:tcW w:w="1350" w:type="dxa"/>
            <w:gridSpan w:val="4"/>
            <w:vMerge w:val="continue"/>
            <w:vAlign w:val="center"/>
          </w:tcPr>
          <w:p>
            <w:pPr>
              <w:autoSpaceDN w:val="0"/>
              <w:spacing w:line="320" w:lineRule="exact"/>
              <w:jc w:val="center"/>
              <w:textAlignment w:val="center"/>
              <w:rPr>
                <w:rFonts w:hint="eastAsia" w:eastAsia="仿宋_GB2312" w:cs="仿宋_GB2312"/>
                <w:sz w:val="24"/>
              </w:rPr>
            </w:pPr>
          </w:p>
        </w:tc>
        <w:tc>
          <w:tcPr>
            <w:tcW w:w="740" w:type="dxa"/>
            <w:vMerge w:val="continue"/>
            <w:vAlign w:val="center"/>
          </w:tcPr>
          <w:p>
            <w:pPr>
              <w:autoSpaceDN w:val="0"/>
              <w:spacing w:line="320" w:lineRule="exact"/>
              <w:jc w:val="center"/>
              <w:textAlignment w:val="center"/>
              <w:rPr>
                <w:rFonts w:hint="eastAsia" w:eastAsia="仿宋_GB2312" w:cs="仿宋_GB2312"/>
                <w:sz w:val="24"/>
              </w:rPr>
            </w:pPr>
          </w:p>
        </w:tc>
        <w:tc>
          <w:tcPr>
            <w:tcW w:w="2570" w:type="dxa"/>
            <w:gridSpan w:val="4"/>
            <w:tcBorders>
              <w:right w:val="single" w:color="auto" w:sz="4" w:space="0"/>
            </w:tcBorders>
            <w:vAlign w:val="center"/>
          </w:tcPr>
          <w:p>
            <w:pPr>
              <w:widowControl/>
              <w:jc w:val="left"/>
              <w:textAlignment w:val="center"/>
              <w:rPr>
                <w:rFonts w:eastAsia="仿宋_GB2312" w:cs="仿宋_GB2312"/>
                <w:sz w:val="24"/>
              </w:rPr>
            </w:pPr>
            <w:r>
              <w:rPr>
                <w:rFonts w:hint="eastAsia" w:eastAsia="仿宋_GB2312" w:cs="仿宋_GB2312"/>
                <w:sz w:val="24"/>
              </w:rPr>
              <w:t>指标5;在职人员控制率</w:t>
            </w:r>
          </w:p>
        </w:tc>
        <w:tc>
          <w:tcPr>
            <w:tcW w:w="2362" w:type="dxa"/>
            <w:gridSpan w:val="6"/>
            <w:tcBorders>
              <w:left w:val="single" w:color="auto" w:sz="4" w:space="0"/>
            </w:tcBorders>
            <w:vAlign w:val="center"/>
          </w:tcPr>
          <w:p>
            <w:pPr>
              <w:widowControl/>
              <w:jc w:val="center"/>
              <w:textAlignment w:val="center"/>
              <w:rPr>
                <w:rFonts w:hint="eastAsia" w:eastAsia="仿宋_GB2312" w:cs="仿宋_GB2312"/>
                <w:sz w:val="24"/>
              </w:rPr>
            </w:pPr>
            <w:r>
              <w:rPr>
                <w:rFonts w:hint="eastAsia" w:eastAsia="仿宋_GB2312" w:cs="仿宋_GB2312"/>
                <w:sz w:val="24"/>
              </w:rPr>
              <w:t>≦100%</w:t>
            </w:r>
          </w:p>
        </w:tc>
        <w:tc>
          <w:tcPr>
            <w:tcW w:w="2140" w:type="dxa"/>
            <w:gridSpan w:val="5"/>
            <w:vAlign w:val="center"/>
          </w:tcPr>
          <w:p>
            <w:pPr>
              <w:widowControl/>
              <w:jc w:val="center"/>
              <w:textAlignment w:val="center"/>
              <w:rPr>
                <w:rFonts w:hint="eastAsia" w:eastAsia="仿宋_GB2312" w:cs="仿宋_GB2312"/>
                <w:sz w:val="24"/>
              </w:rPr>
            </w:pPr>
            <w:r>
              <w:rPr>
                <w:rFonts w:hint="eastAsia" w:eastAsia="仿宋_GB2312" w:cs="仿宋_GB2312"/>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7" w:hRule="atLeast"/>
          <w:jc w:val="center"/>
        </w:trPr>
        <w:tc>
          <w:tcPr>
            <w:tcW w:w="741" w:type="dxa"/>
            <w:vMerge w:val="continue"/>
            <w:vAlign w:val="center"/>
          </w:tcPr>
          <w:p>
            <w:pPr>
              <w:spacing w:line="320" w:lineRule="exact"/>
              <w:rPr>
                <w:rFonts w:hint="eastAsia" w:eastAsia="仿宋_GB2312" w:cs="仿宋_GB2312"/>
                <w:sz w:val="24"/>
              </w:rPr>
            </w:pPr>
          </w:p>
        </w:tc>
        <w:tc>
          <w:tcPr>
            <w:tcW w:w="1350" w:type="dxa"/>
            <w:gridSpan w:val="4"/>
            <w:vMerge w:val="continue"/>
            <w:vAlign w:val="center"/>
          </w:tcPr>
          <w:p>
            <w:pPr>
              <w:autoSpaceDN w:val="0"/>
              <w:spacing w:line="320" w:lineRule="exact"/>
              <w:jc w:val="center"/>
              <w:textAlignment w:val="center"/>
              <w:rPr>
                <w:rFonts w:hint="eastAsia" w:eastAsia="仿宋_GB2312" w:cs="仿宋_GB2312"/>
                <w:sz w:val="24"/>
              </w:rPr>
            </w:pPr>
          </w:p>
        </w:tc>
        <w:tc>
          <w:tcPr>
            <w:tcW w:w="740" w:type="dxa"/>
            <w:vMerge w:val="continue"/>
            <w:vAlign w:val="center"/>
          </w:tcPr>
          <w:p>
            <w:pPr>
              <w:autoSpaceDN w:val="0"/>
              <w:spacing w:line="320" w:lineRule="exact"/>
              <w:jc w:val="center"/>
              <w:textAlignment w:val="center"/>
              <w:rPr>
                <w:rFonts w:hint="eastAsia" w:eastAsia="仿宋_GB2312" w:cs="仿宋_GB2312"/>
                <w:sz w:val="24"/>
              </w:rPr>
            </w:pPr>
          </w:p>
        </w:tc>
        <w:tc>
          <w:tcPr>
            <w:tcW w:w="2570" w:type="dxa"/>
            <w:gridSpan w:val="4"/>
            <w:tcBorders>
              <w:right w:val="single" w:color="auto" w:sz="4" w:space="0"/>
            </w:tcBorders>
            <w:vAlign w:val="center"/>
          </w:tcPr>
          <w:p>
            <w:pPr>
              <w:widowControl/>
              <w:jc w:val="left"/>
              <w:textAlignment w:val="center"/>
              <w:rPr>
                <w:rFonts w:hint="eastAsia" w:eastAsia="仿宋_GB2312" w:cs="仿宋_GB2312"/>
                <w:sz w:val="24"/>
              </w:rPr>
            </w:pPr>
            <w:r>
              <w:rPr>
                <w:rFonts w:hint="eastAsia" w:eastAsia="仿宋_GB2312" w:cs="仿宋_GB2312"/>
                <w:sz w:val="24"/>
              </w:rPr>
              <w:t>指标6：“三公经费”控制率</w:t>
            </w:r>
          </w:p>
        </w:tc>
        <w:tc>
          <w:tcPr>
            <w:tcW w:w="2362" w:type="dxa"/>
            <w:gridSpan w:val="6"/>
            <w:tcBorders>
              <w:left w:val="single" w:color="auto" w:sz="4" w:space="0"/>
            </w:tcBorders>
            <w:vAlign w:val="center"/>
          </w:tcPr>
          <w:p>
            <w:pPr>
              <w:widowControl/>
              <w:jc w:val="center"/>
              <w:textAlignment w:val="center"/>
              <w:rPr>
                <w:rFonts w:hint="eastAsia" w:eastAsia="仿宋_GB2312" w:cs="仿宋_GB2312"/>
                <w:sz w:val="24"/>
              </w:rPr>
            </w:pPr>
            <w:r>
              <w:rPr>
                <w:rFonts w:hint="eastAsia" w:eastAsia="仿宋_GB2312" w:cs="仿宋_GB2312"/>
                <w:sz w:val="24"/>
              </w:rPr>
              <w:t>≦100%</w:t>
            </w:r>
          </w:p>
        </w:tc>
        <w:tc>
          <w:tcPr>
            <w:tcW w:w="2140" w:type="dxa"/>
            <w:gridSpan w:val="5"/>
            <w:vAlign w:val="center"/>
          </w:tcPr>
          <w:p>
            <w:pPr>
              <w:widowControl/>
              <w:jc w:val="center"/>
              <w:textAlignment w:val="center"/>
              <w:rPr>
                <w:rFonts w:hint="eastAsia" w:eastAsia="仿宋_GB2312" w:cs="仿宋_GB2312"/>
                <w:sz w:val="24"/>
              </w:rPr>
            </w:pPr>
            <w:r>
              <w:rPr>
                <w:rFonts w:hint="eastAsia"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7" w:hRule="atLeast"/>
          <w:jc w:val="center"/>
        </w:trPr>
        <w:tc>
          <w:tcPr>
            <w:tcW w:w="741" w:type="dxa"/>
            <w:vMerge w:val="continue"/>
            <w:vAlign w:val="center"/>
          </w:tcPr>
          <w:p/>
        </w:tc>
        <w:tc>
          <w:tcPr>
            <w:tcW w:w="1350" w:type="dxa"/>
            <w:gridSpan w:val="4"/>
            <w:vMerge w:val="continue"/>
            <w:vAlign w:val="center"/>
          </w:tcPr>
          <w:p/>
        </w:tc>
        <w:tc>
          <w:tcPr>
            <w:tcW w:w="740" w:type="dxa"/>
            <w:vMerge w:val="continue"/>
            <w:vAlign w:val="center"/>
          </w:tcPr>
          <w:p/>
        </w:tc>
        <w:tc>
          <w:tcPr>
            <w:tcW w:w="2570" w:type="dxa"/>
            <w:gridSpan w:val="4"/>
            <w:tcBorders>
              <w:right w:val="single" w:color="auto" w:sz="4" w:space="0"/>
            </w:tcBorders>
            <w:vAlign w:val="center"/>
          </w:tcPr>
          <w:p>
            <w:pPr>
              <w:widowControl/>
              <w:jc w:val="left"/>
              <w:textAlignment w:val="center"/>
              <w:rPr>
                <w:rFonts w:hint="eastAsia" w:eastAsia="仿宋_GB2312" w:cs="仿宋_GB2312"/>
                <w:sz w:val="24"/>
              </w:rPr>
            </w:pPr>
            <w:r>
              <w:rPr>
                <w:rFonts w:hint="eastAsia" w:eastAsia="仿宋_GB2312" w:cs="仿宋_GB2312"/>
                <w:sz w:val="24"/>
              </w:rPr>
              <w:t>指标9：公用经费控制率</w:t>
            </w:r>
          </w:p>
        </w:tc>
        <w:tc>
          <w:tcPr>
            <w:tcW w:w="2362" w:type="dxa"/>
            <w:gridSpan w:val="6"/>
            <w:tcBorders>
              <w:left w:val="single" w:color="auto" w:sz="4" w:space="0"/>
            </w:tcBorders>
            <w:vAlign w:val="center"/>
          </w:tcPr>
          <w:p>
            <w:pPr>
              <w:widowControl/>
              <w:jc w:val="center"/>
              <w:textAlignment w:val="center"/>
              <w:rPr>
                <w:rFonts w:hint="eastAsia" w:eastAsia="仿宋_GB2312" w:cs="仿宋_GB2312"/>
                <w:sz w:val="24"/>
              </w:rPr>
            </w:pPr>
            <w:r>
              <w:rPr>
                <w:rFonts w:hint="eastAsia" w:eastAsia="仿宋_GB2312" w:cs="仿宋_GB2312"/>
                <w:sz w:val="24"/>
              </w:rPr>
              <w:t>≦100%</w:t>
            </w:r>
          </w:p>
        </w:tc>
        <w:tc>
          <w:tcPr>
            <w:tcW w:w="2140" w:type="dxa"/>
            <w:gridSpan w:val="5"/>
            <w:vAlign w:val="center"/>
          </w:tcPr>
          <w:p>
            <w:pPr>
              <w:widowControl/>
              <w:jc w:val="center"/>
              <w:textAlignment w:val="center"/>
              <w:rPr>
                <w:rFonts w:hint="eastAsia" w:eastAsia="仿宋_GB2312" w:cs="仿宋_GB2312"/>
                <w:sz w:val="24"/>
              </w:rPr>
            </w:pPr>
            <w:r>
              <w:rPr>
                <w:rFonts w:hint="eastAsia" w:eastAsia="仿宋_GB2312" w:cs="仿宋_GB2312"/>
                <w:sz w:val="24"/>
              </w:rPr>
              <w:t>40.63%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4" w:hRule="atLeast"/>
          <w:jc w:val="center"/>
        </w:trPr>
        <w:tc>
          <w:tcPr>
            <w:tcW w:w="741" w:type="dxa"/>
            <w:vMerge w:val="continue"/>
            <w:vAlign w:val="center"/>
          </w:tcPr>
          <w:p>
            <w:pPr>
              <w:spacing w:line="320" w:lineRule="exact"/>
              <w:rPr>
                <w:rFonts w:hint="eastAsia" w:eastAsia="仿宋_GB2312" w:cs="仿宋_GB2312"/>
                <w:sz w:val="24"/>
              </w:rPr>
            </w:pPr>
          </w:p>
        </w:tc>
        <w:tc>
          <w:tcPr>
            <w:tcW w:w="1350" w:type="dxa"/>
            <w:gridSpan w:val="4"/>
            <w:vMerge w:val="restart"/>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效益任务</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（预期实现的效益）</w:t>
            </w:r>
          </w:p>
        </w:tc>
        <w:tc>
          <w:tcPr>
            <w:tcW w:w="740" w:type="dxa"/>
            <w:vMerge w:val="restart"/>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社会、经济、生态效益</w:t>
            </w:r>
          </w:p>
        </w:tc>
        <w:tc>
          <w:tcPr>
            <w:tcW w:w="2570" w:type="dxa"/>
            <w:gridSpan w:val="4"/>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指标1：</w:t>
            </w:r>
            <w:r>
              <w:rPr>
                <w:rFonts w:hint="eastAsia" w:ascii="仿宋_GB2312" w:eastAsia="仿宋_GB2312"/>
                <w:sz w:val="24"/>
              </w:rPr>
              <w:t>杜绝质量安全事故带来的经济损失</w:t>
            </w:r>
          </w:p>
        </w:tc>
        <w:tc>
          <w:tcPr>
            <w:tcW w:w="2362" w:type="dxa"/>
            <w:gridSpan w:val="6"/>
            <w:vAlign w:val="center"/>
          </w:tcPr>
          <w:p>
            <w:pPr>
              <w:jc w:val="left"/>
              <w:rPr>
                <w:rFonts w:hint="eastAsia" w:ascii="仿宋_GB2312" w:eastAsia="仿宋_GB2312"/>
                <w:sz w:val="24"/>
              </w:rPr>
            </w:pPr>
            <w:r>
              <w:rPr>
                <w:rFonts w:hint="eastAsia" w:ascii="仿宋_GB2312" w:eastAsia="仿宋_GB2312"/>
                <w:sz w:val="24"/>
              </w:rPr>
              <w:t>杜绝质量安全事故带来的经济损失，打造更多的优质工程，减少企业后期对工程的维护费用</w:t>
            </w:r>
          </w:p>
        </w:tc>
        <w:tc>
          <w:tcPr>
            <w:tcW w:w="2140" w:type="dxa"/>
            <w:gridSpan w:val="5"/>
            <w:vAlign w:val="center"/>
          </w:tcPr>
          <w:p>
            <w:pPr>
              <w:jc w:val="left"/>
              <w:rPr>
                <w:rFonts w:hint="eastAsia" w:ascii="仿宋_GB2312" w:eastAsia="仿宋_GB2312"/>
                <w:sz w:val="24"/>
              </w:rPr>
            </w:pPr>
            <w:r>
              <w:rPr>
                <w:rFonts w:hint="eastAsia" w:ascii="仿宋_GB2312" w:eastAsia="仿宋_GB2312"/>
                <w:sz w:val="24"/>
              </w:rPr>
              <w:t>无质量安全事故带来的经济损失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4" w:hRule="atLeast"/>
          <w:jc w:val="center"/>
        </w:trPr>
        <w:tc>
          <w:tcPr>
            <w:tcW w:w="741" w:type="dxa"/>
            <w:vMerge w:val="continue"/>
            <w:vAlign w:val="center"/>
          </w:tcPr>
          <w:p>
            <w:pPr>
              <w:spacing w:line="320" w:lineRule="exact"/>
              <w:rPr>
                <w:rFonts w:hint="eastAsia" w:eastAsia="仿宋_GB2312" w:cs="仿宋_GB2312"/>
                <w:sz w:val="24"/>
              </w:rPr>
            </w:pPr>
          </w:p>
        </w:tc>
        <w:tc>
          <w:tcPr>
            <w:tcW w:w="1350" w:type="dxa"/>
            <w:gridSpan w:val="4"/>
            <w:vMerge w:val="continue"/>
            <w:vAlign w:val="center"/>
          </w:tcPr>
          <w:p>
            <w:pPr>
              <w:autoSpaceDN w:val="0"/>
              <w:spacing w:line="320" w:lineRule="exact"/>
              <w:jc w:val="center"/>
              <w:textAlignment w:val="center"/>
            </w:pPr>
          </w:p>
        </w:tc>
        <w:tc>
          <w:tcPr>
            <w:tcW w:w="740" w:type="dxa"/>
            <w:vMerge w:val="continue"/>
            <w:vAlign w:val="center"/>
          </w:tcPr>
          <w:p>
            <w:pPr>
              <w:autoSpaceDN w:val="0"/>
              <w:spacing w:line="320" w:lineRule="exact"/>
              <w:jc w:val="center"/>
              <w:textAlignment w:val="center"/>
              <w:rPr>
                <w:rFonts w:hint="eastAsia" w:eastAsia="仿宋_GB2312" w:cs="仿宋_GB2312"/>
                <w:sz w:val="24"/>
              </w:rPr>
            </w:pPr>
          </w:p>
        </w:tc>
        <w:tc>
          <w:tcPr>
            <w:tcW w:w="2570" w:type="dxa"/>
            <w:gridSpan w:val="4"/>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指标2：</w:t>
            </w:r>
            <w:r>
              <w:rPr>
                <w:rFonts w:hint="eastAsia" w:ascii="仿宋_GB2312" w:eastAsia="仿宋_GB2312"/>
                <w:sz w:val="24"/>
              </w:rPr>
              <w:t>打造优质工程</w:t>
            </w:r>
          </w:p>
        </w:tc>
        <w:tc>
          <w:tcPr>
            <w:tcW w:w="2362" w:type="dxa"/>
            <w:gridSpan w:val="6"/>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打造更多的优质工程，降低业主为房屋质量问题引起的集体上访和投诉事件，维护社会稳定</w:t>
            </w:r>
          </w:p>
        </w:tc>
        <w:tc>
          <w:tcPr>
            <w:tcW w:w="2140" w:type="dxa"/>
            <w:gridSpan w:val="5"/>
            <w:vAlign w:val="center"/>
          </w:tcPr>
          <w:p>
            <w:pPr>
              <w:jc w:val="left"/>
              <w:rPr>
                <w:rFonts w:hint="eastAsia" w:eastAsia="仿宋_GB2312" w:cs="仿宋_GB2312"/>
                <w:sz w:val="24"/>
              </w:rPr>
            </w:pPr>
            <w:r>
              <w:rPr>
                <w:rFonts w:hint="eastAsia" w:ascii="仿宋_GB2312" w:eastAsia="仿宋_GB2312"/>
                <w:sz w:val="24"/>
              </w:rPr>
              <w:t>加强分户验收工作质量，确保住宅使用功能和观感质量，降低返修率；强化各责任主体质量责任落实，减少住户和开发商之间纠纷，减少质量投诉，减少社会矛盾。提升了群众对住宅质量的满意度。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4" w:hRule="atLeast"/>
          <w:jc w:val="center"/>
        </w:trPr>
        <w:tc>
          <w:tcPr>
            <w:tcW w:w="741" w:type="dxa"/>
            <w:vMerge w:val="continue"/>
            <w:vAlign w:val="center"/>
          </w:tcPr>
          <w:p>
            <w:pPr>
              <w:spacing w:line="320" w:lineRule="exact"/>
              <w:rPr>
                <w:rFonts w:hint="eastAsia" w:eastAsia="仿宋_GB2312" w:cs="仿宋_GB2312"/>
                <w:sz w:val="24"/>
              </w:rPr>
            </w:pPr>
          </w:p>
        </w:tc>
        <w:tc>
          <w:tcPr>
            <w:tcW w:w="1350" w:type="dxa"/>
            <w:gridSpan w:val="4"/>
            <w:vMerge w:val="continue"/>
            <w:vAlign w:val="center"/>
          </w:tcPr>
          <w:p>
            <w:pPr>
              <w:autoSpaceDN w:val="0"/>
              <w:spacing w:line="320" w:lineRule="exact"/>
              <w:jc w:val="center"/>
              <w:textAlignment w:val="center"/>
            </w:pPr>
          </w:p>
        </w:tc>
        <w:tc>
          <w:tcPr>
            <w:tcW w:w="740" w:type="dxa"/>
            <w:vMerge w:val="continue"/>
            <w:vAlign w:val="center"/>
          </w:tcPr>
          <w:p>
            <w:pPr>
              <w:autoSpaceDN w:val="0"/>
              <w:spacing w:line="320" w:lineRule="exact"/>
              <w:jc w:val="center"/>
              <w:textAlignment w:val="center"/>
              <w:rPr>
                <w:rFonts w:hint="eastAsia" w:eastAsia="仿宋_GB2312" w:cs="仿宋_GB2312"/>
                <w:sz w:val="24"/>
              </w:rPr>
            </w:pPr>
          </w:p>
        </w:tc>
        <w:tc>
          <w:tcPr>
            <w:tcW w:w="2570" w:type="dxa"/>
            <w:gridSpan w:val="4"/>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指标3：生态效益指标保护生态环境。</w:t>
            </w:r>
          </w:p>
        </w:tc>
        <w:tc>
          <w:tcPr>
            <w:tcW w:w="2362" w:type="dxa"/>
            <w:gridSpan w:val="6"/>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打造优质工程，杜绝损害生态环境</w:t>
            </w:r>
          </w:p>
        </w:tc>
        <w:tc>
          <w:tcPr>
            <w:tcW w:w="2140" w:type="dxa"/>
            <w:gridSpan w:val="5"/>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全年州直管工程对生态环境无造成不利影响的情况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4" w:hRule="atLeast"/>
          <w:jc w:val="center"/>
        </w:trPr>
        <w:tc>
          <w:tcPr>
            <w:tcW w:w="741" w:type="dxa"/>
            <w:vMerge w:val="continue"/>
            <w:vAlign w:val="center"/>
          </w:tcPr>
          <w:p>
            <w:pPr>
              <w:spacing w:line="320" w:lineRule="exact"/>
              <w:rPr>
                <w:rFonts w:hint="eastAsia" w:eastAsia="仿宋_GB2312" w:cs="仿宋_GB2312"/>
                <w:sz w:val="24"/>
              </w:rPr>
            </w:pPr>
          </w:p>
        </w:tc>
        <w:tc>
          <w:tcPr>
            <w:tcW w:w="1350" w:type="dxa"/>
            <w:gridSpan w:val="4"/>
            <w:vMerge w:val="continue"/>
            <w:vAlign w:val="center"/>
          </w:tcPr>
          <w:p>
            <w:pPr>
              <w:autoSpaceDN w:val="0"/>
              <w:spacing w:line="320" w:lineRule="exact"/>
              <w:jc w:val="center"/>
              <w:textAlignment w:val="center"/>
            </w:pPr>
          </w:p>
        </w:tc>
        <w:tc>
          <w:tcPr>
            <w:tcW w:w="740" w:type="dxa"/>
            <w:vMerge w:val="continue"/>
            <w:vAlign w:val="center"/>
          </w:tcPr>
          <w:p>
            <w:pPr>
              <w:autoSpaceDN w:val="0"/>
              <w:spacing w:line="320" w:lineRule="exact"/>
              <w:jc w:val="center"/>
              <w:textAlignment w:val="center"/>
              <w:rPr>
                <w:rFonts w:hint="eastAsia" w:eastAsia="仿宋_GB2312" w:cs="仿宋_GB2312"/>
                <w:sz w:val="24"/>
              </w:rPr>
            </w:pPr>
          </w:p>
        </w:tc>
        <w:tc>
          <w:tcPr>
            <w:tcW w:w="2570" w:type="dxa"/>
            <w:gridSpan w:val="4"/>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指标4：可持续性指标安全优质施工，惠及社会良性发展。</w:t>
            </w:r>
          </w:p>
        </w:tc>
        <w:tc>
          <w:tcPr>
            <w:tcW w:w="2362" w:type="dxa"/>
            <w:gridSpan w:val="6"/>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安全优质施工，惠及社会良性发展</w:t>
            </w:r>
          </w:p>
        </w:tc>
        <w:tc>
          <w:tcPr>
            <w:tcW w:w="2140" w:type="dxa"/>
            <w:gridSpan w:val="5"/>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安全文明优质施工，完成创建州级质量标准化管理示范观摩工地2个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72" w:hRule="atLeast"/>
          <w:jc w:val="center"/>
        </w:trPr>
        <w:tc>
          <w:tcPr>
            <w:tcW w:w="741" w:type="dxa"/>
            <w:vMerge w:val="continue"/>
            <w:vAlign w:val="center"/>
          </w:tcPr>
          <w:p>
            <w:pPr>
              <w:spacing w:line="320" w:lineRule="exact"/>
              <w:rPr>
                <w:rFonts w:hint="eastAsia" w:eastAsia="仿宋_GB2312" w:cs="仿宋_GB2312"/>
                <w:sz w:val="24"/>
              </w:rPr>
            </w:pPr>
          </w:p>
        </w:tc>
        <w:tc>
          <w:tcPr>
            <w:tcW w:w="1350" w:type="dxa"/>
            <w:gridSpan w:val="4"/>
            <w:vMerge w:val="continue"/>
            <w:vAlign w:val="center"/>
          </w:tcPr>
          <w:p>
            <w:pPr>
              <w:autoSpaceDN w:val="0"/>
              <w:spacing w:line="320" w:lineRule="exact"/>
            </w:pPr>
          </w:p>
        </w:tc>
        <w:tc>
          <w:tcPr>
            <w:tcW w:w="740" w:type="dxa"/>
            <w:vAlign w:val="center"/>
          </w:tcPr>
          <w:p>
            <w:pPr>
              <w:autoSpaceDN w:val="0"/>
              <w:spacing w:line="320" w:lineRule="exact"/>
              <w:jc w:val="center"/>
              <w:textAlignment w:val="center"/>
            </w:pPr>
            <w:r>
              <w:rPr>
                <w:rFonts w:hint="eastAsia" w:eastAsia="仿宋_GB2312" w:cs="仿宋_GB2312"/>
                <w:sz w:val="24"/>
              </w:rPr>
              <w:t>社会公众或服务对象满意度</w:t>
            </w:r>
          </w:p>
        </w:tc>
        <w:tc>
          <w:tcPr>
            <w:tcW w:w="2570" w:type="dxa"/>
            <w:gridSpan w:val="4"/>
            <w:vAlign w:val="center"/>
          </w:tcPr>
          <w:p>
            <w:pPr>
              <w:autoSpaceDN w:val="0"/>
              <w:spacing w:line="320" w:lineRule="exact"/>
              <w:jc w:val="center"/>
              <w:textAlignment w:val="center"/>
            </w:pPr>
            <w:r>
              <w:rPr>
                <w:rFonts w:hint="eastAsia" w:ascii="仿宋_GB2312" w:eastAsia="仿宋_GB2312"/>
                <w:sz w:val="24"/>
              </w:rPr>
              <w:t>指标：服务对象满意度</w:t>
            </w:r>
          </w:p>
        </w:tc>
        <w:tc>
          <w:tcPr>
            <w:tcW w:w="2362" w:type="dxa"/>
            <w:gridSpan w:val="6"/>
            <w:vAlign w:val="center"/>
          </w:tcPr>
          <w:p>
            <w:pPr>
              <w:jc w:val="center"/>
              <w:rPr>
                <w:rFonts w:hint="eastAsia" w:ascii="仿宋_GB2312" w:eastAsia="仿宋_GB2312"/>
                <w:sz w:val="24"/>
              </w:rPr>
            </w:pPr>
            <w:r>
              <w:rPr>
                <w:rFonts w:hint="eastAsia" w:ascii="仿宋_GB2312" w:eastAsia="仿宋_GB2312"/>
                <w:sz w:val="24"/>
              </w:rPr>
              <w:t>服务对象满意率达98%。</w:t>
            </w:r>
          </w:p>
        </w:tc>
        <w:tc>
          <w:tcPr>
            <w:tcW w:w="2140" w:type="dxa"/>
            <w:gridSpan w:val="5"/>
            <w:vAlign w:val="center"/>
          </w:tcPr>
          <w:p>
            <w:pPr>
              <w:jc w:val="center"/>
              <w:rPr>
                <w:rFonts w:hint="eastAsia" w:ascii="仿宋_GB2312" w:eastAsia="仿宋_GB2312"/>
                <w:sz w:val="24"/>
              </w:rPr>
            </w:pPr>
            <w:r>
              <w:rPr>
                <w:rFonts w:hint="eastAsia" w:ascii="仿宋_GB2312" w:eastAsia="仿宋_GB2312"/>
                <w:sz w:val="24"/>
              </w:rPr>
              <w:t>98.</w:t>
            </w:r>
            <w:r>
              <w:rPr>
                <w:rFonts w:ascii="仿宋_GB2312" w:eastAsia="仿宋_GB2312"/>
                <w:sz w:val="24"/>
              </w:rPr>
              <w:t>5</w:t>
            </w:r>
            <w:r>
              <w:rPr>
                <w:rFonts w:hint="eastAsia" w:ascii="仿宋_GB2312" w:eastAsia="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96" w:hRule="atLeast"/>
          <w:jc w:val="center"/>
        </w:trPr>
        <w:tc>
          <w:tcPr>
            <w:tcW w:w="2091" w:type="dxa"/>
            <w:gridSpan w:val="5"/>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绩效自评综合得分及评价等次</w:t>
            </w:r>
          </w:p>
        </w:tc>
        <w:tc>
          <w:tcPr>
            <w:tcW w:w="7812" w:type="dxa"/>
            <w:gridSpan w:val="16"/>
            <w:vAlign w:val="center"/>
          </w:tcPr>
          <w:p>
            <w:pPr>
              <w:spacing w:line="320" w:lineRule="exact"/>
              <w:ind w:firstLine="600" w:firstLineChars="300"/>
              <w:rPr>
                <w:rFonts w:hint="eastAsia" w:eastAsia="楷体_GB2312"/>
              </w:rPr>
            </w:pPr>
            <w:r>
              <w:rPr>
                <w:rFonts w:hint="eastAsia" w:eastAsia="楷体_GB2312"/>
              </w:rPr>
              <w:t>评分：95.75                              等级：优</w:t>
            </w:r>
          </w:p>
          <w:p>
            <w:pPr>
              <w:autoSpaceDN w:val="0"/>
              <w:spacing w:line="320" w:lineRule="exact"/>
              <w:jc w:val="left"/>
              <w:textAlignment w:val="center"/>
              <w:rPr>
                <w:rFonts w:hint="eastAsia" w:eastAsia="仿宋_GB2312" w:cs="仿宋_GB2312"/>
                <w:sz w:val="24"/>
              </w:rPr>
            </w:pPr>
            <w:r>
              <w:rPr>
                <w:rFonts w:hint="eastAsia" w:ascii="TimesNewRoman" w:hAnsi="TimesNewRoman"/>
                <w:szCs w:val="21"/>
              </w:rPr>
              <w:t xml:space="preserve">   备注：</w:t>
            </w:r>
            <w:r>
              <w:rPr>
                <w:rFonts w:ascii="TimesNewRoman" w:hAnsi="TimesNewRoman"/>
                <w:szCs w:val="21"/>
              </w:rPr>
              <w:t>90</w:t>
            </w:r>
            <w:r>
              <w:rPr>
                <w:rFonts w:hint="eastAsia" w:ascii="仿宋_GB2312" w:eastAsia="仿宋_GB2312"/>
                <w:szCs w:val="21"/>
              </w:rPr>
              <w:t>（含）—</w:t>
            </w:r>
            <w:r>
              <w:rPr>
                <w:rFonts w:ascii="TimesNewRoman" w:hAnsi="TimesNewRoman"/>
                <w:szCs w:val="21"/>
              </w:rPr>
              <w:t>100</w:t>
            </w:r>
            <w:r>
              <w:rPr>
                <w:rFonts w:hint="eastAsia" w:ascii="仿宋_GB2312" w:eastAsia="仿宋_GB2312"/>
                <w:szCs w:val="21"/>
              </w:rPr>
              <w:t>分为优；</w:t>
            </w:r>
            <w:r>
              <w:rPr>
                <w:rFonts w:ascii="TimesNewRoman" w:hAnsi="TimesNewRoman"/>
                <w:szCs w:val="21"/>
              </w:rPr>
              <w:t>80</w:t>
            </w:r>
            <w:r>
              <w:rPr>
                <w:rFonts w:hint="eastAsia" w:ascii="仿宋_GB2312" w:eastAsia="仿宋_GB2312"/>
                <w:szCs w:val="21"/>
              </w:rPr>
              <w:t>（含）—</w:t>
            </w:r>
            <w:r>
              <w:rPr>
                <w:rFonts w:ascii="TimesNewRoman" w:hAnsi="TimesNewRoman"/>
                <w:szCs w:val="21"/>
              </w:rPr>
              <w:t>90</w:t>
            </w:r>
            <w:r>
              <w:rPr>
                <w:rFonts w:hint="eastAsia" w:ascii="仿宋_GB2312" w:eastAsia="仿宋_GB2312"/>
                <w:szCs w:val="21"/>
              </w:rPr>
              <w:t>分为良；</w:t>
            </w:r>
            <w:r>
              <w:rPr>
                <w:rFonts w:ascii="TimesNewRoman" w:hAnsi="TimesNewRoman"/>
                <w:szCs w:val="21"/>
              </w:rPr>
              <w:t xml:space="preserve"> 60</w:t>
            </w:r>
            <w:r>
              <w:rPr>
                <w:rFonts w:hint="eastAsia" w:ascii="仿宋_GB2312" w:eastAsia="仿宋_GB2312"/>
                <w:szCs w:val="21"/>
              </w:rPr>
              <w:t>（含）—</w:t>
            </w:r>
            <w:r>
              <w:rPr>
                <w:rFonts w:ascii="TimesNewRoman" w:hAnsi="TimesNewRoman"/>
                <w:szCs w:val="21"/>
              </w:rPr>
              <w:t>80</w:t>
            </w:r>
            <w:r>
              <w:rPr>
                <w:rFonts w:hint="eastAsia" w:ascii="仿宋_GB2312" w:eastAsia="仿宋_GB2312"/>
                <w:szCs w:val="21"/>
              </w:rPr>
              <w:t xml:space="preserve"> 分为较差；</w:t>
            </w:r>
            <w:r>
              <w:rPr>
                <w:rFonts w:ascii="TimesNewRoman" w:hAnsi="TimesNewRoman"/>
                <w:szCs w:val="21"/>
              </w:rPr>
              <w:t>60</w:t>
            </w:r>
            <w:r>
              <w:rPr>
                <w:rFonts w:hint="eastAsia" w:ascii="仿宋_GB2312" w:eastAsia="仿宋_GB2312"/>
                <w:szCs w:val="21"/>
              </w:rPr>
              <w:t>分以下为差。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0" w:hRule="atLeast"/>
          <w:jc w:val="center"/>
        </w:trPr>
        <w:tc>
          <w:tcPr>
            <w:tcW w:w="9903" w:type="dxa"/>
            <w:gridSpan w:val="21"/>
            <w:vAlign w:val="center"/>
          </w:tcPr>
          <w:p>
            <w:pPr>
              <w:autoSpaceDN w:val="0"/>
              <w:spacing w:line="320" w:lineRule="exact"/>
              <w:jc w:val="center"/>
              <w:textAlignment w:val="center"/>
              <w:rPr>
                <w:rFonts w:hint="eastAsia" w:eastAsia="仿宋_GB2312" w:cs="仿宋_GB2312"/>
                <w:b/>
                <w:sz w:val="24"/>
              </w:rPr>
            </w:pPr>
            <w:r>
              <w:rPr>
                <w:rFonts w:hint="eastAsia" w:eastAsia="仿宋_GB2312" w:cs="仿宋_GB2312"/>
                <w:b/>
                <w:sz w:val="24"/>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7" w:hRule="atLeast"/>
          <w:jc w:val="center"/>
        </w:trPr>
        <w:tc>
          <w:tcPr>
            <w:tcW w:w="1739" w:type="dxa"/>
            <w:gridSpan w:val="4"/>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姓名</w:t>
            </w:r>
          </w:p>
        </w:tc>
        <w:tc>
          <w:tcPr>
            <w:tcW w:w="3161" w:type="dxa"/>
            <w:gridSpan w:val="5"/>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职务/职称</w:t>
            </w:r>
          </w:p>
        </w:tc>
        <w:tc>
          <w:tcPr>
            <w:tcW w:w="2450" w:type="dxa"/>
            <w:gridSpan w:val="6"/>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单位</w:t>
            </w:r>
          </w:p>
        </w:tc>
        <w:tc>
          <w:tcPr>
            <w:tcW w:w="2553" w:type="dxa"/>
            <w:gridSpan w:val="6"/>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7" w:hRule="atLeast"/>
          <w:jc w:val="center"/>
        </w:trPr>
        <w:tc>
          <w:tcPr>
            <w:tcW w:w="1739" w:type="dxa"/>
            <w:gridSpan w:val="4"/>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黄志刚</w:t>
            </w:r>
          </w:p>
        </w:tc>
        <w:tc>
          <w:tcPr>
            <w:tcW w:w="3161" w:type="dxa"/>
            <w:gridSpan w:val="5"/>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站</w:t>
            </w:r>
            <w:r>
              <w:rPr>
                <w:rFonts w:hint="eastAsia" w:eastAsia="仿宋_GB2312" w:cs="仿宋_GB2312"/>
                <w:sz w:val="24"/>
                <w:lang w:val="en-US" w:eastAsia="zh-CN"/>
              </w:rPr>
              <w:t xml:space="preserve">   </w:t>
            </w:r>
            <w:r>
              <w:rPr>
                <w:rFonts w:hint="eastAsia" w:eastAsia="仿宋_GB2312" w:cs="仿宋_GB2312"/>
                <w:sz w:val="24"/>
                <w:lang w:eastAsia="zh-CN"/>
              </w:rPr>
              <w:t>长</w:t>
            </w:r>
          </w:p>
        </w:tc>
        <w:tc>
          <w:tcPr>
            <w:tcW w:w="2450" w:type="dxa"/>
            <w:gridSpan w:val="6"/>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州建设工程质量安全监督管理站</w:t>
            </w:r>
          </w:p>
        </w:tc>
        <w:tc>
          <w:tcPr>
            <w:tcW w:w="2553" w:type="dxa"/>
            <w:gridSpan w:val="6"/>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7" w:hRule="atLeast"/>
          <w:jc w:val="center"/>
        </w:trPr>
        <w:tc>
          <w:tcPr>
            <w:tcW w:w="1739" w:type="dxa"/>
            <w:gridSpan w:val="4"/>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皮明香</w:t>
            </w:r>
          </w:p>
        </w:tc>
        <w:tc>
          <w:tcPr>
            <w:tcW w:w="3161" w:type="dxa"/>
            <w:gridSpan w:val="5"/>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副站长</w:t>
            </w:r>
          </w:p>
        </w:tc>
        <w:tc>
          <w:tcPr>
            <w:tcW w:w="2450" w:type="dxa"/>
            <w:gridSpan w:val="6"/>
            <w:vAlign w:val="center"/>
          </w:tcPr>
          <w:p>
            <w:pPr>
              <w:autoSpaceDN w:val="0"/>
              <w:spacing w:line="320" w:lineRule="exact"/>
              <w:jc w:val="center"/>
              <w:textAlignment w:val="center"/>
              <w:rPr>
                <w:rFonts w:hint="eastAsia" w:eastAsia="仿宋_GB2312" w:cs="仿宋_GB2312"/>
                <w:sz w:val="24"/>
                <w:rPrChange w:id="0" w:author="greatwall" w:date="2023-06-30T15:17:13Z">
                  <w:rPr>
                    <w:rFonts w:hint="eastAsia" w:eastAsia="仿宋_GB2312" w:cs="仿宋_GB2312"/>
                    <w:sz w:val="24"/>
                  </w:rPr>
                </w:rPrChange>
              </w:rPr>
            </w:pPr>
            <w:r>
              <w:rPr>
                <w:rFonts w:hint="eastAsia" w:eastAsia="仿宋_GB2312" w:cs="仿宋_GB2312"/>
                <w:sz w:val="24"/>
                <w:lang w:eastAsia="zh-CN"/>
              </w:rPr>
              <w:t>州建设工程质量安全监督管理站</w:t>
            </w:r>
          </w:p>
        </w:tc>
        <w:tc>
          <w:tcPr>
            <w:tcW w:w="2553" w:type="dxa"/>
            <w:gridSpan w:val="6"/>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7" w:hRule="atLeast"/>
          <w:jc w:val="center"/>
        </w:trPr>
        <w:tc>
          <w:tcPr>
            <w:tcW w:w="1739" w:type="dxa"/>
            <w:gridSpan w:val="4"/>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向腾飞</w:t>
            </w:r>
          </w:p>
        </w:tc>
        <w:tc>
          <w:tcPr>
            <w:tcW w:w="3161" w:type="dxa"/>
            <w:gridSpan w:val="5"/>
            <w:vAlign w:val="center"/>
          </w:tcPr>
          <w:p>
            <w:pPr>
              <w:autoSpaceDN w:val="0"/>
              <w:spacing w:line="320" w:lineRule="exact"/>
              <w:jc w:val="center"/>
              <w:textAlignment w:val="center"/>
              <w:rPr>
                <w:rFonts w:hint="eastAsia" w:eastAsia="仿宋_GB2312" w:cs="仿宋_GB2312"/>
                <w:sz w:val="24"/>
                <w:rPrChange w:id="1" w:author="greatwall" w:date="2023-06-30T15:17:13Z">
                  <w:rPr>
                    <w:rFonts w:hint="eastAsia" w:eastAsia="仿宋_GB2312" w:cs="仿宋_GB2312"/>
                    <w:sz w:val="24"/>
                  </w:rPr>
                </w:rPrChange>
              </w:rPr>
            </w:pPr>
          </w:p>
        </w:tc>
        <w:tc>
          <w:tcPr>
            <w:tcW w:w="2450" w:type="dxa"/>
            <w:gridSpan w:val="6"/>
            <w:vAlign w:val="center"/>
          </w:tcPr>
          <w:p>
            <w:pPr>
              <w:autoSpaceDN w:val="0"/>
              <w:spacing w:line="320" w:lineRule="exact"/>
              <w:jc w:val="center"/>
              <w:textAlignment w:val="center"/>
              <w:rPr>
                <w:rFonts w:hint="eastAsia" w:eastAsia="仿宋_GB2312" w:cs="仿宋_GB2312"/>
                <w:sz w:val="24"/>
                <w:rPrChange w:id="2" w:author="greatwall" w:date="2023-06-30T15:17:13Z">
                  <w:rPr>
                    <w:rFonts w:hint="eastAsia" w:eastAsia="仿宋_GB2312" w:cs="仿宋_GB2312"/>
                    <w:sz w:val="24"/>
                  </w:rPr>
                </w:rPrChange>
              </w:rPr>
            </w:pPr>
            <w:r>
              <w:rPr>
                <w:rFonts w:hint="eastAsia" w:eastAsia="仿宋_GB2312" w:cs="仿宋_GB2312"/>
                <w:sz w:val="24"/>
                <w:lang w:eastAsia="zh-CN"/>
              </w:rPr>
              <w:t>州建设工程质量安全监督管理站</w:t>
            </w:r>
          </w:p>
        </w:tc>
        <w:tc>
          <w:tcPr>
            <w:tcW w:w="2553" w:type="dxa"/>
            <w:gridSpan w:val="6"/>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7" w:hRule="atLeast"/>
          <w:jc w:val="center"/>
        </w:trPr>
        <w:tc>
          <w:tcPr>
            <w:tcW w:w="1739" w:type="dxa"/>
            <w:gridSpan w:val="4"/>
            <w:vAlign w:val="center"/>
          </w:tcPr>
          <w:p>
            <w:pPr>
              <w:autoSpaceDN w:val="0"/>
              <w:spacing w:line="320" w:lineRule="exact"/>
              <w:jc w:val="center"/>
              <w:textAlignment w:val="center"/>
              <w:rPr>
                <w:rFonts w:hint="eastAsia" w:eastAsia="仿宋_GB2312" w:cs="仿宋_GB2312"/>
                <w:sz w:val="24"/>
              </w:rPr>
            </w:pPr>
          </w:p>
        </w:tc>
        <w:tc>
          <w:tcPr>
            <w:tcW w:w="3161" w:type="dxa"/>
            <w:gridSpan w:val="5"/>
            <w:vAlign w:val="center"/>
          </w:tcPr>
          <w:p>
            <w:pPr>
              <w:autoSpaceDN w:val="0"/>
              <w:spacing w:line="320" w:lineRule="exact"/>
              <w:jc w:val="center"/>
              <w:textAlignment w:val="center"/>
              <w:rPr>
                <w:rFonts w:hint="eastAsia" w:eastAsia="仿宋_GB2312" w:cs="仿宋_GB2312"/>
                <w:sz w:val="24"/>
              </w:rPr>
            </w:pPr>
          </w:p>
        </w:tc>
        <w:tc>
          <w:tcPr>
            <w:tcW w:w="2450" w:type="dxa"/>
            <w:gridSpan w:val="6"/>
            <w:vAlign w:val="center"/>
          </w:tcPr>
          <w:p>
            <w:pPr>
              <w:autoSpaceDN w:val="0"/>
              <w:spacing w:line="320" w:lineRule="exact"/>
              <w:jc w:val="center"/>
              <w:textAlignment w:val="center"/>
              <w:rPr>
                <w:rFonts w:hint="eastAsia" w:eastAsia="仿宋_GB2312" w:cs="仿宋_GB2312"/>
                <w:sz w:val="24"/>
              </w:rPr>
            </w:pPr>
          </w:p>
        </w:tc>
        <w:tc>
          <w:tcPr>
            <w:tcW w:w="2553" w:type="dxa"/>
            <w:gridSpan w:val="6"/>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32" w:hRule="atLeast"/>
          <w:jc w:val="center"/>
        </w:trPr>
        <w:tc>
          <w:tcPr>
            <w:tcW w:w="9903" w:type="dxa"/>
            <w:gridSpan w:val="21"/>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评价组组长签署意见：</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ind w:firstLine="5760" w:firstLineChars="2400"/>
              <w:jc w:val="left"/>
              <w:textAlignment w:val="center"/>
              <w:rPr>
                <w:rFonts w:hint="eastAsia" w:eastAsia="仿宋_GB2312" w:cs="仿宋_GB2312"/>
                <w:sz w:val="24"/>
              </w:rPr>
            </w:pPr>
            <w:r>
              <w:rPr>
                <w:rFonts w:hint="eastAsia" w:eastAsia="仿宋_GB2312" w:cs="仿宋_GB2312"/>
                <w:sz w:val="24"/>
              </w:rPr>
              <w:t>评价组组长（签字）：</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92" w:hRule="atLeast"/>
          <w:jc w:val="center"/>
        </w:trPr>
        <w:tc>
          <w:tcPr>
            <w:tcW w:w="9903" w:type="dxa"/>
            <w:gridSpan w:val="21"/>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部门（单位）意见：</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部门（单位）负责人（签字）：                部门（单位）（盖章）：</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26" w:hRule="atLeast"/>
          <w:jc w:val="center"/>
        </w:trPr>
        <w:tc>
          <w:tcPr>
            <w:tcW w:w="9903" w:type="dxa"/>
            <w:gridSpan w:val="21"/>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rPr>
                <w:rFonts w:hint="eastAsia" w:eastAsia="仿宋_GB2312"/>
                <w:sz w:val="24"/>
              </w:rPr>
            </w:pPr>
          </w:p>
          <w:p>
            <w:pPr>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财政部门归口业务科室负责人（签字）：         财政部门归口业务科室（盖章）：</w:t>
            </w:r>
          </w:p>
          <w:p>
            <w:pPr>
              <w:autoSpaceDN w:val="0"/>
              <w:spacing w:line="320" w:lineRule="exact"/>
              <w:jc w:val="left"/>
              <w:textAlignment w:val="center"/>
              <w:rPr>
                <w:rFonts w:hint="eastAsia" w:eastAsia="仿宋_GB2312"/>
                <w:sz w:val="24"/>
              </w:rPr>
            </w:pPr>
            <w:r>
              <w:rPr>
                <w:rFonts w:hint="eastAsia" w:eastAsia="仿宋_GB2312"/>
                <w:sz w:val="24"/>
              </w:rPr>
              <w:t xml:space="preserve">                                                                 </w:t>
            </w:r>
          </w:p>
          <w:p>
            <w:pPr>
              <w:autoSpaceDN w:val="0"/>
              <w:spacing w:line="320" w:lineRule="exact"/>
              <w:ind w:firstLine="7680" w:firstLineChars="3200"/>
              <w:jc w:val="left"/>
              <w:textAlignment w:val="center"/>
              <w:rPr>
                <w:rFonts w:hint="eastAsia" w:eastAsia="仿宋_GB2312" w:cs="仿宋_GB2312"/>
                <w:sz w:val="24"/>
              </w:rPr>
            </w:pPr>
            <w:r>
              <w:rPr>
                <w:rFonts w:hint="eastAsia" w:eastAsia="仿宋_GB2312"/>
                <w:sz w:val="24"/>
              </w:rPr>
              <w:t>年    月   日</w:t>
            </w:r>
          </w:p>
        </w:tc>
      </w:tr>
    </w:tbl>
    <w:p>
      <w:pPr>
        <w:rPr>
          <w:vanish/>
        </w:rPr>
      </w:pPr>
    </w:p>
    <w:p>
      <w:pPr>
        <w:spacing w:line="560" w:lineRule="exact"/>
        <w:jc w:val="center"/>
        <w:rPr>
          <w:rFonts w:hint="eastAsia" w:eastAsia="方正小标宋_GBK"/>
          <w:sz w:val="36"/>
          <w:szCs w:val="36"/>
        </w:rPr>
      </w:pPr>
    </w:p>
    <w:p>
      <w:pPr>
        <w:spacing w:line="480" w:lineRule="auto"/>
        <w:jc w:val="center"/>
        <w:rPr>
          <w:rFonts w:ascii="黑体" w:hAnsi="黑体" w:eastAsia="黑体"/>
          <w:sz w:val="40"/>
          <w:szCs w:val="40"/>
        </w:rPr>
      </w:pPr>
      <w:bookmarkStart w:id="0" w:name="_Toc10776"/>
    </w:p>
    <w:p>
      <w:pPr>
        <w:spacing w:line="480" w:lineRule="auto"/>
        <w:jc w:val="center"/>
        <w:rPr>
          <w:rFonts w:ascii="黑体" w:hAnsi="黑体" w:eastAsia="黑体"/>
          <w:sz w:val="40"/>
          <w:szCs w:val="40"/>
        </w:rPr>
      </w:pPr>
    </w:p>
    <w:p>
      <w:pPr>
        <w:spacing w:line="480" w:lineRule="auto"/>
        <w:jc w:val="center"/>
        <w:rPr>
          <w:rFonts w:ascii="黑体" w:hAnsi="黑体" w:eastAsia="黑体"/>
          <w:sz w:val="40"/>
          <w:szCs w:val="40"/>
        </w:rPr>
      </w:pPr>
    </w:p>
    <w:p>
      <w:pPr>
        <w:rPr>
          <w:rFonts w:ascii="黑体" w:hAnsi="黑体" w:eastAsia="黑体"/>
          <w:sz w:val="40"/>
          <w:szCs w:val="40"/>
        </w:rPr>
      </w:pPr>
    </w:p>
    <w:p/>
    <w:p>
      <w:pPr>
        <w:spacing w:line="480" w:lineRule="auto"/>
        <w:jc w:val="center"/>
        <w:rPr>
          <w:rFonts w:ascii="黑体" w:hAnsi="黑体" w:eastAsia="黑体"/>
          <w:sz w:val="40"/>
          <w:szCs w:val="40"/>
        </w:rPr>
      </w:pPr>
      <w:r>
        <w:rPr>
          <w:rFonts w:ascii="黑体" w:hAnsi="黑体" w:eastAsia="黑体"/>
          <w:sz w:val="40"/>
          <w:szCs w:val="40"/>
        </w:rPr>
        <w:t>目</w:t>
      </w:r>
      <w:r>
        <w:rPr>
          <w:rFonts w:hint="eastAsia" w:ascii="黑体" w:hAnsi="黑体" w:eastAsia="黑体"/>
          <w:sz w:val="40"/>
          <w:szCs w:val="40"/>
        </w:rPr>
        <w:t xml:space="preserve">       </w:t>
      </w:r>
      <w:r>
        <w:rPr>
          <w:rFonts w:ascii="黑体" w:hAnsi="黑体" w:eastAsia="黑体"/>
          <w:sz w:val="40"/>
          <w:szCs w:val="40"/>
        </w:rPr>
        <w:t>录</w:t>
      </w:r>
    </w:p>
    <w:p>
      <w:pPr>
        <w:tabs>
          <w:tab w:val="right" w:leader="dot" w:pos="8843"/>
        </w:tabs>
        <w:spacing w:line="432" w:lineRule="auto"/>
      </w:pPr>
      <w:r>
        <w:rPr>
          <w:rFonts w:hint="eastAsia" w:eastAsia="黑体" w:cs="Arial"/>
          <w:sz w:val="32"/>
          <w:szCs w:val="32"/>
          <w:shd w:val="clear" w:color="auto" w:fill="FFFFFF"/>
        </w:rPr>
        <w:fldChar w:fldCharType="begin"/>
      </w:r>
      <w:r>
        <w:rPr>
          <w:rFonts w:hint="eastAsia" w:eastAsia="黑体" w:cs="Arial"/>
          <w:sz w:val="32"/>
          <w:szCs w:val="32"/>
          <w:shd w:val="clear" w:color="auto" w:fill="FFFFFF"/>
        </w:rPr>
        <w:instrText xml:space="preserve">TOC \o "1-2" \h \u </w:instrText>
      </w:r>
      <w:r>
        <w:rPr>
          <w:rFonts w:hint="eastAsia" w:eastAsia="黑体" w:cs="Arial"/>
          <w:sz w:val="32"/>
          <w:szCs w:val="32"/>
          <w:shd w:val="clear" w:color="auto" w:fill="FFFFFF"/>
        </w:rPr>
        <w:fldChar w:fldCharType="separate"/>
      </w:r>
      <w:r>
        <w:fldChar w:fldCharType="begin"/>
      </w:r>
      <w:r>
        <w:instrText xml:space="preserve"> HYPERLINK \l "_Toc1740968833" </w:instrText>
      </w:r>
      <w:r>
        <w:fldChar w:fldCharType="separate"/>
      </w:r>
      <w:r>
        <w:rPr>
          <w:rFonts w:hint="eastAsia" w:ascii="黑体" w:hAnsi="黑体" w:eastAsia="黑体"/>
          <w:szCs w:val="32"/>
        </w:rPr>
        <w:t>一、基本情况</w:t>
      </w:r>
      <w:r>
        <w:tab/>
      </w:r>
      <w:r>
        <w:fldChar w:fldCharType="begin"/>
      </w:r>
      <w:r>
        <w:instrText xml:space="preserve"> PAGEREF _Toc1740968833 </w:instrText>
      </w:r>
      <w:r>
        <w:fldChar w:fldCharType="separate"/>
      </w:r>
      <w:r>
        <w:t>- 1 -</w:t>
      </w:r>
      <w:r>
        <w:fldChar w:fldCharType="end"/>
      </w:r>
      <w:r>
        <w:fldChar w:fldCharType="end"/>
      </w:r>
    </w:p>
    <w:p>
      <w:pPr>
        <w:tabs>
          <w:tab w:val="right" w:leader="dot" w:pos="8843"/>
        </w:tabs>
        <w:spacing w:line="432" w:lineRule="auto"/>
      </w:pPr>
      <w:r>
        <w:fldChar w:fldCharType="begin"/>
      </w:r>
      <w:r>
        <w:instrText xml:space="preserve"> HYPERLINK \l "_Toc861739487" </w:instrText>
      </w:r>
      <w:r>
        <w:fldChar w:fldCharType="separate"/>
      </w:r>
      <w:r>
        <w:rPr>
          <w:rFonts w:hint="eastAsia" w:eastAsia="方正楷体_GB2312"/>
          <w:bCs/>
          <w:szCs w:val="32"/>
        </w:rPr>
        <w:t>（一）部门（单位）基本情况</w:t>
      </w:r>
      <w:r>
        <w:tab/>
      </w:r>
      <w:r>
        <w:fldChar w:fldCharType="begin"/>
      </w:r>
      <w:r>
        <w:instrText xml:space="preserve"> PAGEREF _Toc861739487 </w:instrText>
      </w:r>
      <w:r>
        <w:fldChar w:fldCharType="separate"/>
      </w:r>
      <w:r>
        <w:t>- 1 -</w:t>
      </w:r>
      <w:r>
        <w:fldChar w:fldCharType="end"/>
      </w:r>
      <w:r>
        <w:fldChar w:fldCharType="end"/>
      </w:r>
    </w:p>
    <w:p>
      <w:pPr>
        <w:tabs>
          <w:tab w:val="right" w:leader="dot" w:pos="8843"/>
        </w:tabs>
        <w:spacing w:line="432" w:lineRule="auto"/>
      </w:pPr>
      <w:r>
        <w:fldChar w:fldCharType="begin"/>
      </w:r>
      <w:r>
        <w:instrText xml:space="preserve"> HYPERLINK \l "_Toc1164561616" </w:instrText>
      </w:r>
      <w:r>
        <w:fldChar w:fldCharType="separate"/>
      </w:r>
      <w:r>
        <w:rPr>
          <w:rFonts w:hint="eastAsia" w:eastAsia="方正楷体_GB2312"/>
          <w:bCs/>
          <w:szCs w:val="32"/>
        </w:rPr>
        <w:t>（二）年度整体支出绩效任务</w:t>
      </w:r>
      <w:r>
        <w:tab/>
      </w:r>
      <w:r>
        <w:fldChar w:fldCharType="begin"/>
      </w:r>
      <w:r>
        <w:instrText xml:space="preserve"> PAGEREF _Toc1164561616 </w:instrText>
      </w:r>
      <w:r>
        <w:fldChar w:fldCharType="separate"/>
      </w:r>
      <w:r>
        <w:t>- 3 -</w:t>
      </w:r>
      <w:r>
        <w:fldChar w:fldCharType="end"/>
      </w:r>
      <w:r>
        <w:fldChar w:fldCharType="end"/>
      </w:r>
    </w:p>
    <w:p>
      <w:pPr>
        <w:tabs>
          <w:tab w:val="right" w:leader="dot" w:pos="8843"/>
        </w:tabs>
        <w:spacing w:line="432" w:lineRule="auto"/>
      </w:pPr>
      <w:r>
        <w:fldChar w:fldCharType="begin"/>
      </w:r>
      <w:r>
        <w:instrText xml:space="preserve"> HYPERLINK \l "_Toc814575855" </w:instrText>
      </w:r>
      <w:r>
        <w:fldChar w:fldCharType="separate"/>
      </w:r>
      <w:r>
        <w:rPr>
          <w:rFonts w:hint="eastAsia" w:ascii="黑体" w:hAnsi="黑体" w:eastAsia="黑体"/>
          <w:szCs w:val="32"/>
        </w:rPr>
        <w:t>二、一般公共预算支出情况</w:t>
      </w:r>
      <w:r>
        <w:tab/>
      </w:r>
      <w:r>
        <w:fldChar w:fldCharType="begin"/>
      </w:r>
      <w:r>
        <w:instrText xml:space="preserve"> PAGEREF _Toc814575855 </w:instrText>
      </w:r>
      <w:r>
        <w:fldChar w:fldCharType="separate"/>
      </w:r>
      <w:r>
        <w:t>- 3 -</w:t>
      </w:r>
      <w:r>
        <w:fldChar w:fldCharType="end"/>
      </w:r>
      <w:r>
        <w:fldChar w:fldCharType="end"/>
      </w:r>
    </w:p>
    <w:p>
      <w:pPr>
        <w:tabs>
          <w:tab w:val="right" w:leader="dot" w:pos="8843"/>
        </w:tabs>
        <w:spacing w:line="432" w:lineRule="auto"/>
      </w:pPr>
      <w:r>
        <w:fldChar w:fldCharType="begin"/>
      </w:r>
      <w:r>
        <w:instrText xml:space="preserve"> HYPERLINK \l "_Toc1165043795" </w:instrText>
      </w:r>
      <w:r>
        <w:fldChar w:fldCharType="separate"/>
      </w:r>
      <w:r>
        <w:rPr>
          <w:rFonts w:hint="eastAsia" w:ascii="楷体_GB2312" w:hAnsi="楷体_GB2312" w:eastAsia="楷体_GB2312" w:cs="楷体_GB2312"/>
          <w:szCs w:val="32"/>
          <w:shd w:val="clear" w:color="auto" w:fill="FFFFFF"/>
          <w:lang w:bidi="ar"/>
        </w:rPr>
        <w:t>（一）基本支出情况</w:t>
      </w:r>
      <w:r>
        <w:tab/>
      </w:r>
      <w:r>
        <w:fldChar w:fldCharType="begin"/>
      </w:r>
      <w:r>
        <w:instrText xml:space="preserve"> PAGEREF _Toc1165043795 </w:instrText>
      </w:r>
      <w:r>
        <w:fldChar w:fldCharType="separate"/>
      </w:r>
      <w:r>
        <w:t>- 3 -</w:t>
      </w:r>
      <w:r>
        <w:fldChar w:fldCharType="end"/>
      </w:r>
      <w:r>
        <w:fldChar w:fldCharType="end"/>
      </w:r>
    </w:p>
    <w:p>
      <w:pPr>
        <w:tabs>
          <w:tab w:val="right" w:leader="dot" w:pos="8843"/>
        </w:tabs>
        <w:spacing w:line="432" w:lineRule="auto"/>
      </w:pPr>
      <w:r>
        <w:fldChar w:fldCharType="begin"/>
      </w:r>
      <w:r>
        <w:instrText xml:space="preserve"> HYPERLINK \l "_Toc807765075" </w:instrText>
      </w:r>
      <w:r>
        <w:fldChar w:fldCharType="separate"/>
      </w:r>
      <w:r>
        <w:rPr>
          <w:rFonts w:hint="eastAsia" w:ascii="楷体_GB2312" w:hAnsi="楷体_GB2312" w:eastAsia="楷体_GB2312" w:cs="楷体_GB2312"/>
          <w:szCs w:val="32"/>
          <w:shd w:val="clear" w:color="auto" w:fill="FFFFFF"/>
          <w:lang w:bidi="ar"/>
        </w:rPr>
        <w:t>（二）项目支出情况</w:t>
      </w:r>
      <w:r>
        <w:tab/>
      </w:r>
      <w:r>
        <w:fldChar w:fldCharType="begin"/>
      </w:r>
      <w:r>
        <w:instrText xml:space="preserve"> PAGEREF _Toc807765075 </w:instrText>
      </w:r>
      <w:r>
        <w:fldChar w:fldCharType="separate"/>
      </w:r>
      <w:r>
        <w:t>- 3 -</w:t>
      </w:r>
      <w:r>
        <w:fldChar w:fldCharType="end"/>
      </w:r>
      <w:r>
        <w:fldChar w:fldCharType="end"/>
      </w:r>
    </w:p>
    <w:p>
      <w:pPr>
        <w:tabs>
          <w:tab w:val="right" w:leader="dot" w:pos="8843"/>
        </w:tabs>
        <w:spacing w:line="432" w:lineRule="auto"/>
      </w:pPr>
      <w:r>
        <w:fldChar w:fldCharType="begin"/>
      </w:r>
      <w:r>
        <w:instrText xml:space="preserve"> HYPERLINK \l "_Toc806378705" </w:instrText>
      </w:r>
      <w:r>
        <w:fldChar w:fldCharType="separate"/>
      </w:r>
      <w:r>
        <w:rPr>
          <w:rFonts w:hint="eastAsia" w:ascii="黑体" w:hAnsi="黑体" w:eastAsia="黑体"/>
          <w:szCs w:val="32"/>
        </w:rPr>
        <w:t>三、政府性基金预算支出情况</w:t>
      </w:r>
      <w:r>
        <w:tab/>
      </w:r>
      <w:r>
        <w:fldChar w:fldCharType="begin"/>
      </w:r>
      <w:r>
        <w:instrText xml:space="preserve"> PAGEREF _Toc806378705 </w:instrText>
      </w:r>
      <w:r>
        <w:fldChar w:fldCharType="separate"/>
      </w:r>
      <w:r>
        <w:t>- 3 -</w:t>
      </w:r>
      <w:r>
        <w:fldChar w:fldCharType="end"/>
      </w:r>
      <w:r>
        <w:fldChar w:fldCharType="end"/>
      </w:r>
    </w:p>
    <w:p>
      <w:pPr>
        <w:tabs>
          <w:tab w:val="right" w:leader="dot" w:pos="8843"/>
        </w:tabs>
        <w:spacing w:line="432" w:lineRule="auto"/>
      </w:pPr>
      <w:r>
        <w:fldChar w:fldCharType="begin"/>
      </w:r>
      <w:r>
        <w:instrText xml:space="preserve"> HYPERLINK \l "_Toc1320799627" </w:instrText>
      </w:r>
      <w:r>
        <w:fldChar w:fldCharType="separate"/>
      </w:r>
      <w:r>
        <w:rPr>
          <w:rFonts w:hint="eastAsia" w:ascii="黑体" w:hAnsi="黑体" w:eastAsia="黑体"/>
          <w:szCs w:val="32"/>
        </w:rPr>
        <w:t>四、国有资本经营预算支出情况</w:t>
      </w:r>
      <w:r>
        <w:tab/>
      </w:r>
      <w:r>
        <w:fldChar w:fldCharType="begin"/>
      </w:r>
      <w:r>
        <w:instrText xml:space="preserve"> PAGEREF _Toc1320799627 </w:instrText>
      </w:r>
      <w:r>
        <w:fldChar w:fldCharType="separate"/>
      </w:r>
      <w:r>
        <w:t>- 3 -</w:t>
      </w:r>
      <w:r>
        <w:fldChar w:fldCharType="end"/>
      </w:r>
      <w:r>
        <w:fldChar w:fldCharType="end"/>
      </w:r>
    </w:p>
    <w:p>
      <w:pPr>
        <w:tabs>
          <w:tab w:val="right" w:leader="dot" w:pos="8843"/>
        </w:tabs>
        <w:spacing w:line="432" w:lineRule="auto"/>
      </w:pPr>
      <w:r>
        <w:fldChar w:fldCharType="begin"/>
      </w:r>
      <w:r>
        <w:instrText xml:space="preserve"> HYPERLINK \l "_Toc1598158485" </w:instrText>
      </w:r>
      <w:r>
        <w:fldChar w:fldCharType="separate"/>
      </w:r>
      <w:r>
        <w:rPr>
          <w:rFonts w:hint="eastAsia" w:ascii="黑体" w:hAnsi="黑体" w:eastAsia="黑体"/>
          <w:szCs w:val="32"/>
        </w:rPr>
        <w:t>五、社会保险基金预算支出情况</w:t>
      </w:r>
      <w:r>
        <w:tab/>
      </w:r>
      <w:r>
        <w:fldChar w:fldCharType="begin"/>
      </w:r>
      <w:r>
        <w:instrText xml:space="preserve"> PAGEREF _Toc1598158485 </w:instrText>
      </w:r>
      <w:r>
        <w:fldChar w:fldCharType="separate"/>
      </w:r>
      <w:r>
        <w:t>- 3 -</w:t>
      </w:r>
      <w:r>
        <w:fldChar w:fldCharType="end"/>
      </w:r>
      <w:r>
        <w:fldChar w:fldCharType="end"/>
      </w:r>
    </w:p>
    <w:p>
      <w:pPr>
        <w:tabs>
          <w:tab w:val="right" w:leader="dot" w:pos="8843"/>
        </w:tabs>
        <w:spacing w:line="432" w:lineRule="auto"/>
      </w:pPr>
      <w:r>
        <w:fldChar w:fldCharType="begin"/>
      </w:r>
      <w:r>
        <w:instrText xml:space="preserve"> HYPERLINK \l "_Toc248333854" </w:instrText>
      </w:r>
      <w:r>
        <w:fldChar w:fldCharType="separate"/>
      </w:r>
      <w:r>
        <w:rPr>
          <w:rFonts w:hint="eastAsia" w:ascii="黑体" w:hAnsi="黑体" w:eastAsia="黑体"/>
          <w:szCs w:val="32"/>
        </w:rPr>
        <w:t>六、单位整体支出绩效情况</w:t>
      </w:r>
      <w:r>
        <w:tab/>
      </w:r>
      <w:r>
        <w:fldChar w:fldCharType="begin"/>
      </w:r>
      <w:r>
        <w:instrText xml:space="preserve"> PAGEREF _Toc248333854 </w:instrText>
      </w:r>
      <w:r>
        <w:fldChar w:fldCharType="separate"/>
      </w:r>
      <w:r>
        <w:t>- 4 -</w:t>
      </w:r>
      <w:r>
        <w:fldChar w:fldCharType="end"/>
      </w:r>
      <w:r>
        <w:fldChar w:fldCharType="end"/>
      </w:r>
    </w:p>
    <w:p>
      <w:pPr>
        <w:tabs>
          <w:tab w:val="right" w:leader="dot" w:pos="8843"/>
        </w:tabs>
        <w:spacing w:line="432" w:lineRule="auto"/>
      </w:pPr>
      <w:r>
        <w:fldChar w:fldCharType="begin"/>
      </w:r>
      <w:r>
        <w:instrText xml:space="preserve"> HYPERLINK \l "_Toc446698348" </w:instrText>
      </w:r>
      <w:r>
        <w:fldChar w:fldCharType="separate"/>
      </w:r>
      <w:r>
        <w:rPr>
          <w:rFonts w:hint="eastAsia" w:eastAsia="方正楷体_GB2312"/>
          <w:bCs/>
          <w:szCs w:val="32"/>
        </w:rPr>
        <w:t>（一）年度总体目标完成情况</w:t>
      </w:r>
      <w:r>
        <w:tab/>
      </w:r>
      <w:r>
        <w:fldChar w:fldCharType="begin"/>
      </w:r>
      <w:r>
        <w:instrText xml:space="preserve"> PAGEREF _Toc446698348 </w:instrText>
      </w:r>
      <w:r>
        <w:fldChar w:fldCharType="separate"/>
      </w:r>
      <w:r>
        <w:t>- 4 -</w:t>
      </w:r>
      <w:r>
        <w:fldChar w:fldCharType="end"/>
      </w:r>
      <w:r>
        <w:fldChar w:fldCharType="end"/>
      </w:r>
    </w:p>
    <w:p>
      <w:pPr>
        <w:tabs>
          <w:tab w:val="right" w:leader="dot" w:pos="8843"/>
        </w:tabs>
        <w:spacing w:line="432" w:lineRule="auto"/>
      </w:pPr>
      <w:r>
        <w:fldChar w:fldCharType="begin"/>
      </w:r>
      <w:r>
        <w:instrText xml:space="preserve"> HYPERLINK \l "_Toc575456455" </w:instrText>
      </w:r>
      <w:r>
        <w:fldChar w:fldCharType="separate"/>
      </w:r>
      <w:r>
        <w:rPr>
          <w:rFonts w:hint="eastAsia" w:eastAsia="方正楷体_GB2312"/>
          <w:bCs/>
          <w:szCs w:val="32"/>
        </w:rPr>
        <w:t>（二）预算执行情况</w:t>
      </w:r>
      <w:r>
        <w:tab/>
      </w:r>
      <w:r>
        <w:fldChar w:fldCharType="begin"/>
      </w:r>
      <w:r>
        <w:instrText xml:space="preserve"> PAGEREF _Toc575456455 </w:instrText>
      </w:r>
      <w:r>
        <w:fldChar w:fldCharType="separate"/>
      </w:r>
      <w:r>
        <w:t>- 4 -</w:t>
      </w:r>
      <w:r>
        <w:fldChar w:fldCharType="end"/>
      </w:r>
      <w:r>
        <w:fldChar w:fldCharType="end"/>
      </w:r>
    </w:p>
    <w:p>
      <w:pPr>
        <w:tabs>
          <w:tab w:val="right" w:leader="dot" w:pos="8843"/>
        </w:tabs>
        <w:spacing w:line="432" w:lineRule="auto"/>
      </w:pPr>
      <w:r>
        <w:fldChar w:fldCharType="begin"/>
      </w:r>
      <w:r>
        <w:instrText xml:space="preserve"> HYPERLINK \l "_Toc31599295" </w:instrText>
      </w:r>
      <w:r>
        <w:fldChar w:fldCharType="separate"/>
      </w:r>
      <w:r>
        <w:rPr>
          <w:rFonts w:hint="eastAsia" w:eastAsia="方正楷体_GB2312"/>
          <w:bCs/>
          <w:szCs w:val="32"/>
        </w:rPr>
        <w:t>（三）预算管理情况</w:t>
      </w:r>
      <w:r>
        <w:tab/>
      </w:r>
      <w:r>
        <w:fldChar w:fldCharType="begin"/>
      </w:r>
      <w:r>
        <w:instrText xml:space="preserve"> PAGEREF _Toc31599295 </w:instrText>
      </w:r>
      <w:r>
        <w:fldChar w:fldCharType="separate"/>
      </w:r>
      <w:r>
        <w:t>- 5 -</w:t>
      </w:r>
      <w:r>
        <w:fldChar w:fldCharType="end"/>
      </w:r>
      <w:r>
        <w:fldChar w:fldCharType="end"/>
      </w:r>
    </w:p>
    <w:p>
      <w:pPr>
        <w:tabs>
          <w:tab w:val="right" w:leader="dot" w:pos="8843"/>
        </w:tabs>
        <w:spacing w:line="432" w:lineRule="auto"/>
      </w:pPr>
      <w:r>
        <w:fldChar w:fldCharType="begin"/>
      </w:r>
      <w:r>
        <w:instrText xml:space="preserve"> HYPERLINK \l "_Toc1582948363" </w:instrText>
      </w:r>
      <w:r>
        <w:fldChar w:fldCharType="separate"/>
      </w:r>
      <w:r>
        <w:rPr>
          <w:rFonts w:hint="eastAsia" w:eastAsia="方正楷体_GB2312"/>
          <w:bCs/>
          <w:szCs w:val="32"/>
        </w:rPr>
        <w:t>（四）资产管理情况</w:t>
      </w:r>
      <w:r>
        <w:tab/>
      </w:r>
      <w:r>
        <w:fldChar w:fldCharType="begin"/>
      </w:r>
      <w:r>
        <w:instrText xml:space="preserve"> PAGEREF _Toc1582948363 </w:instrText>
      </w:r>
      <w:r>
        <w:fldChar w:fldCharType="separate"/>
      </w:r>
      <w:r>
        <w:t>- 6 -</w:t>
      </w:r>
      <w:r>
        <w:fldChar w:fldCharType="end"/>
      </w:r>
      <w:r>
        <w:fldChar w:fldCharType="end"/>
      </w:r>
    </w:p>
    <w:p>
      <w:pPr>
        <w:tabs>
          <w:tab w:val="right" w:leader="dot" w:pos="8843"/>
        </w:tabs>
        <w:spacing w:line="432" w:lineRule="auto"/>
      </w:pPr>
      <w:r>
        <w:fldChar w:fldCharType="begin"/>
      </w:r>
      <w:r>
        <w:instrText xml:space="preserve"> HYPERLINK \l "_Toc983243684" </w:instrText>
      </w:r>
      <w:r>
        <w:fldChar w:fldCharType="separate"/>
      </w:r>
      <w:r>
        <w:rPr>
          <w:rFonts w:hint="eastAsia" w:eastAsia="方正楷体_GB2312"/>
          <w:bCs/>
          <w:szCs w:val="32"/>
        </w:rPr>
        <w:t>（五）职责履行和履职效益方面 </w:t>
      </w:r>
      <w:r>
        <w:tab/>
      </w:r>
      <w:r>
        <w:fldChar w:fldCharType="begin"/>
      </w:r>
      <w:r>
        <w:instrText xml:space="preserve"> PAGEREF _Toc983243684 </w:instrText>
      </w:r>
      <w:r>
        <w:fldChar w:fldCharType="separate"/>
      </w:r>
      <w:r>
        <w:t>- 6 -</w:t>
      </w:r>
      <w:r>
        <w:fldChar w:fldCharType="end"/>
      </w:r>
      <w:r>
        <w:fldChar w:fldCharType="end"/>
      </w:r>
    </w:p>
    <w:p>
      <w:pPr>
        <w:tabs>
          <w:tab w:val="right" w:leader="dot" w:pos="8843"/>
        </w:tabs>
        <w:spacing w:line="432" w:lineRule="auto"/>
      </w:pPr>
      <w:r>
        <w:fldChar w:fldCharType="begin"/>
      </w:r>
      <w:r>
        <w:instrText xml:space="preserve"> HYPERLINK \l "_Toc223128508" </w:instrText>
      </w:r>
      <w:r>
        <w:fldChar w:fldCharType="separate"/>
      </w:r>
      <w:r>
        <w:rPr>
          <w:rFonts w:hint="eastAsia" w:ascii="黑体" w:hAnsi="黑体" w:eastAsia="黑体"/>
          <w:szCs w:val="32"/>
        </w:rPr>
        <w:t>七、综合评价情况及评价结论</w:t>
      </w:r>
      <w:r>
        <w:tab/>
      </w:r>
      <w:r>
        <w:fldChar w:fldCharType="begin"/>
      </w:r>
      <w:r>
        <w:instrText xml:space="preserve"> PAGEREF _Toc223128508 </w:instrText>
      </w:r>
      <w:r>
        <w:fldChar w:fldCharType="separate"/>
      </w:r>
      <w:r>
        <w:t>- 11 -</w:t>
      </w:r>
      <w:r>
        <w:fldChar w:fldCharType="end"/>
      </w:r>
      <w:r>
        <w:fldChar w:fldCharType="end"/>
      </w:r>
    </w:p>
    <w:p>
      <w:pPr>
        <w:tabs>
          <w:tab w:val="right" w:leader="dot" w:pos="8843"/>
        </w:tabs>
        <w:spacing w:line="432" w:lineRule="auto"/>
      </w:pPr>
      <w:r>
        <w:fldChar w:fldCharType="begin"/>
      </w:r>
      <w:r>
        <w:instrText xml:space="preserve"> HYPERLINK \l "_Toc556265878" </w:instrText>
      </w:r>
      <w:r>
        <w:fldChar w:fldCharType="separate"/>
      </w:r>
      <w:r>
        <w:rPr>
          <w:rFonts w:hint="eastAsia" w:ascii="黑体" w:hAnsi="黑体" w:eastAsia="黑体"/>
          <w:szCs w:val="32"/>
        </w:rPr>
        <w:t>八、主要经验做法、存在的问题及原因分析</w:t>
      </w:r>
      <w:r>
        <w:tab/>
      </w:r>
      <w:r>
        <w:fldChar w:fldCharType="begin"/>
      </w:r>
      <w:r>
        <w:instrText xml:space="preserve"> PAGEREF _Toc556265878 </w:instrText>
      </w:r>
      <w:r>
        <w:fldChar w:fldCharType="separate"/>
      </w:r>
      <w:r>
        <w:t>- 11 -</w:t>
      </w:r>
      <w:r>
        <w:fldChar w:fldCharType="end"/>
      </w:r>
      <w:r>
        <w:fldChar w:fldCharType="end"/>
      </w:r>
    </w:p>
    <w:p>
      <w:pPr>
        <w:tabs>
          <w:tab w:val="right" w:leader="dot" w:pos="8843"/>
        </w:tabs>
        <w:spacing w:line="432" w:lineRule="auto"/>
      </w:pPr>
      <w:r>
        <w:fldChar w:fldCharType="begin"/>
      </w:r>
      <w:r>
        <w:instrText xml:space="preserve"> HYPERLINK \l "_Toc296794514" </w:instrText>
      </w:r>
      <w:r>
        <w:fldChar w:fldCharType="separate"/>
      </w:r>
      <w:r>
        <w:rPr>
          <w:rFonts w:hint="eastAsia" w:ascii="黑体" w:hAnsi="黑体" w:eastAsia="黑体"/>
          <w:szCs w:val="32"/>
        </w:rPr>
        <w:t>九、有关建议</w:t>
      </w:r>
      <w:r>
        <w:tab/>
      </w:r>
      <w:r>
        <w:fldChar w:fldCharType="begin"/>
      </w:r>
      <w:r>
        <w:instrText xml:space="preserve"> PAGEREF _Toc296794514 </w:instrText>
      </w:r>
      <w:r>
        <w:fldChar w:fldCharType="separate"/>
      </w:r>
      <w:r>
        <w:t>- 12 -</w:t>
      </w:r>
      <w:r>
        <w:fldChar w:fldCharType="end"/>
      </w:r>
      <w:r>
        <w:fldChar w:fldCharType="end"/>
      </w:r>
    </w:p>
    <w:p>
      <w:pPr>
        <w:tabs>
          <w:tab w:val="right" w:leader="dot" w:pos="8843"/>
        </w:tabs>
        <w:spacing w:line="432" w:lineRule="auto"/>
      </w:pPr>
      <w:r>
        <w:fldChar w:fldCharType="begin"/>
      </w:r>
      <w:r>
        <w:instrText xml:space="preserve"> HYPERLINK \l "_Toc2005489030" </w:instrText>
      </w:r>
      <w:r>
        <w:fldChar w:fldCharType="separate"/>
      </w:r>
      <w:r>
        <w:rPr>
          <w:rFonts w:hint="eastAsia" w:ascii="黑体" w:hAnsi="黑体" w:eastAsia="黑体"/>
          <w:szCs w:val="32"/>
        </w:rPr>
        <w:t>十、绩效自评结果拟应用和公开情况</w:t>
      </w:r>
      <w:r>
        <w:tab/>
      </w:r>
      <w:r>
        <w:fldChar w:fldCharType="begin"/>
      </w:r>
      <w:r>
        <w:instrText xml:space="preserve"> PAGEREF _Toc2005489030 </w:instrText>
      </w:r>
      <w:r>
        <w:fldChar w:fldCharType="separate"/>
      </w:r>
      <w:r>
        <w:t>- 12 -</w:t>
      </w:r>
      <w:r>
        <w:fldChar w:fldCharType="end"/>
      </w:r>
      <w:r>
        <w:fldChar w:fldCharType="end"/>
      </w:r>
    </w:p>
    <w:p>
      <w:pPr>
        <w:tabs>
          <w:tab w:val="right" w:leader="dot" w:pos="8843"/>
        </w:tabs>
        <w:spacing w:line="432" w:lineRule="auto"/>
      </w:pPr>
      <w:r>
        <w:fldChar w:fldCharType="begin"/>
      </w:r>
      <w:r>
        <w:instrText xml:space="preserve"> HYPERLINK \l "_Toc609668580" </w:instrText>
      </w:r>
      <w:r>
        <w:fldChar w:fldCharType="separate"/>
      </w:r>
      <w:r>
        <w:rPr>
          <w:rFonts w:ascii="黑体" w:hAnsi="黑体" w:eastAsia="黑体"/>
          <w:szCs w:val="32"/>
        </w:rPr>
        <w:t>十一、其他需要说明的问题</w:t>
      </w:r>
      <w:r>
        <w:tab/>
      </w:r>
      <w:r>
        <w:fldChar w:fldCharType="begin"/>
      </w:r>
      <w:r>
        <w:instrText xml:space="preserve"> PAGEREF _Toc609668580 </w:instrText>
      </w:r>
      <w:r>
        <w:fldChar w:fldCharType="separate"/>
      </w:r>
      <w:r>
        <w:t>- 12 -</w:t>
      </w:r>
      <w:r>
        <w:fldChar w:fldCharType="end"/>
      </w:r>
      <w:r>
        <w:fldChar w:fldCharType="end"/>
      </w:r>
    </w:p>
    <w:p>
      <w:pPr>
        <w:spacing w:line="480" w:lineRule="auto"/>
        <w:rPr>
          <w:rFonts w:hint="eastAsia" w:eastAsia="黑体" w:cs="Arial"/>
          <w:sz w:val="32"/>
          <w:szCs w:val="32"/>
          <w:shd w:val="clear" w:color="auto" w:fill="FFFFFF"/>
        </w:rPr>
        <w:sectPr>
          <w:footerReference r:id="rId5" w:type="default"/>
          <w:pgSz w:w="11905" w:h="16837"/>
          <w:pgMar w:top="1418" w:right="1531" w:bottom="1985" w:left="1531" w:header="851" w:footer="1701" w:gutter="0"/>
          <w:pgNumType w:fmt="numberInDash" w:start="1"/>
          <w:cols w:space="720" w:num="1"/>
          <w:docGrid w:linePitch="636" w:charSpace="20838"/>
        </w:sectPr>
      </w:pPr>
      <w:r>
        <w:rPr>
          <w:rFonts w:hint="eastAsia" w:eastAsia="黑体" w:cs="Arial"/>
          <w:szCs w:val="32"/>
          <w:shd w:val="clear" w:color="auto" w:fill="FFFFFF"/>
        </w:rPr>
        <w:fldChar w:fldCharType="end"/>
      </w:r>
    </w:p>
    <w:p>
      <w:pPr>
        <w:spacing w:line="578" w:lineRule="atLeast"/>
        <w:jc w:val="center"/>
        <w:rPr>
          <w:rFonts w:hint="eastAsia" w:eastAsia="方正小标宋简体" w:cs="Arial"/>
          <w:bCs/>
          <w:sz w:val="44"/>
          <w:szCs w:val="44"/>
        </w:rPr>
      </w:pPr>
      <w:r>
        <w:rPr>
          <w:rFonts w:hint="eastAsia" w:eastAsia="方正小标宋简体" w:cs="Arial"/>
          <w:bCs/>
          <w:sz w:val="44"/>
          <w:szCs w:val="44"/>
        </w:rPr>
        <w:t>州建设工程质量安全监督管理站</w:t>
      </w:r>
    </w:p>
    <w:p>
      <w:pPr>
        <w:spacing w:line="578" w:lineRule="atLeast"/>
        <w:jc w:val="center"/>
        <w:rPr>
          <w:rFonts w:hint="eastAsia" w:eastAsia="方正小标宋简体" w:cs="Arial"/>
          <w:bCs/>
          <w:sz w:val="44"/>
          <w:szCs w:val="44"/>
        </w:rPr>
      </w:pPr>
      <w:r>
        <w:rPr>
          <w:rFonts w:hint="eastAsia" w:eastAsia="方正小标宋简体" w:cs="Arial"/>
          <w:bCs/>
          <w:sz w:val="44"/>
          <w:szCs w:val="44"/>
        </w:rPr>
        <w:t>整体支出绩效评价报告</w:t>
      </w:r>
      <w:bookmarkEnd w:id="0"/>
    </w:p>
    <w:p>
      <w:pPr>
        <w:spacing w:line="600" w:lineRule="exact"/>
        <w:jc w:val="center"/>
        <w:rPr>
          <w:rFonts w:eastAsia="楷体_GB2312"/>
          <w:sz w:val="32"/>
          <w:szCs w:val="32"/>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为进一步规范财政资金管理，建立全方位、全过程、全覆盖的预算绩效管理体系，强化部门责任意识，切实提高财政资金使用效益，提升预算绩效管理水平，根据《中共中央国务院关于全面实施预算绩效管理的意见》（中发〔2018〕34号） 《中共湖南省委办公厅 湖南省人民政府办公厅关于全面实施预算绩效管理的实施意见》（湘办发〔2019〕10号）《湖南省财政厅关于印发&lt;湖南省预算支出绩效评价管理办法&gt;的通知》（湘财绩〔2020〕7号） 《湘西自治州州级预算部门整体支出绩效自评操作规程》（州财绩〔2022〕6 号）</w:t>
      </w:r>
      <w:r>
        <w:rPr>
          <w:rFonts w:hint="eastAsia" w:ascii="仿宋_GB2312" w:eastAsia="仿宋_GB2312"/>
          <w:color w:val="FF0000"/>
          <w:sz w:val="32"/>
          <w:szCs w:val="32"/>
        </w:rPr>
        <w:t xml:space="preserve"> </w:t>
      </w:r>
      <w:r>
        <w:rPr>
          <w:rFonts w:ascii="仿宋_GB2312" w:eastAsia="仿宋_GB2312"/>
          <w:sz w:val="32"/>
          <w:szCs w:val="32"/>
        </w:rPr>
        <w:t>《湘西自治州财政局关于开展</w:t>
      </w:r>
      <w:r>
        <w:rPr>
          <w:rFonts w:hint="eastAsia" w:ascii="仿宋_GB2312" w:eastAsia="仿宋_GB2312"/>
          <w:sz w:val="32"/>
          <w:szCs w:val="32"/>
        </w:rPr>
        <w:t>2022</w:t>
      </w:r>
      <w:r>
        <w:rPr>
          <w:rFonts w:ascii="仿宋_GB2312" w:eastAsia="仿宋_GB2312"/>
          <w:sz w:val="32"/>
          <w:szCs w:val="32"/>
        </w:rPr>
        <w:t>年度州直预算部门（单位）项目支出绩效自评工作的通知》（州财绩〔202</w:t>
      </w: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3</w:t>
      </w:r>
      <w:r>
        <w:rPr>
          <w:rFonts w:ascii="仿宋_GB2312" w:eastAsia="仿宋_GB2312"/>
          <w:sz w:val="32"/>
          <w:szCs w:val="32"/>
        </w:rPr>
        <w:t>号）</w:t>
      </w:r>
      <w:r>
        <w:rPr>
          <w:rFonts w:hint="eastAsia" w:ascii="仿宋_GB2312" w:eastAsia="仿宋_GB2312"/>
          <w:sz w:val="32"/>
          <w:szCs w:val="32"/>
        </w:rPr>
        <w:t>等上级文件精神。本单位于202</w:t>
      </w:r>
      <w:r>
        <w:rPr>
          <w:rFonts w:ascii="仿宋_GB2312" w:eastAsia="仿宋_GB2312"/>
          <w:sz w:val="32"/>
          <w:szCs w:val="32"/>
          <w:lang w:val="en"/>
        </w:rPr>
        <w:t>3</w:t>
      </w:r>
      <w:r>
        <w:rPr>
          <w:rFonts w:hint="eastAsia" w:ascii="仿宋_GB2312" w:eastAsia="仿宋_GB2312"/>
          <w:sz w:val="32"/>
          <w:szCs w:val="32"/>
        </w:rPr>
        <w:t>年6月1日至6月10日，组织力量对单位整体支出进行了绩效评价，本次评价遵循了“科学规范、公正公开、分类管理、绩效相关”的原则，运用科学、合理的绩效评价指标、评价标准和评价方法，对本单位2022年度整体支出的绩效情况进行客观、公正的评价。现将情况汇报如下：</w:t>
      </w:r>
    </w:p>
    <w:p>
      <w:pPr>
        <w:widowControl/>
        <w:spacing w:line="620" w:lineRule="exact"/>
        <w:ind w:left="561"/>
        <w:outlineLvl w:val="0"/>
        <w:rPr>
          <w:rFonts w:hint="eastAsia" w:ascii="黑体" w:hAnsi="黑体" w:eastAsia="黑体"/>
          <w:sz w:val="32"/>
          <w:szCs w:val="32"/>
        </w:rPr>
      </w:pPr>
      <w:bookmarkStart w:id="1" w:name="_Toc1740968833"/>
      <w:bookmarkStart w:id="2" w:name="_Toc3995"/>
      <w:r>
        <w:rPr>
          <w:rFonts w:hint="eastAsia" w:ascii="黑体" w:hAnsi="黑体" w:eastAsia="黑体"/>
          <w:sz w:val="32"/>
          <w:szCs w:val="32"/>
        </w:rPr>
        <w:t>一、基本情况</w:t>
      </w:r>
      <w:bookmarkEnd w:id="1"/>
      <w:bookmarkEnd w:id="2"/>
    </w:p>
    <w:p>
      <w:pPr>
        <w:widowControl/>
        <w:spacing w:line="620" w:lineRule="exact"/>
        <w:ind w:firstLine="640"/>
        <w:outlineLvl w:val="1"/>
        <w:rPr>
          <w:rFonts w:hint="eastAsia" w:ascii="Times New Roman" w:hAnsi="Times New Roman" w:eastAsia="方正楷体_GB2312"/>
          <w:b/>
          <w:bCs/>
          <w:sz w:val="32"/>
          <w:szCs w:val="32"/>
        </w:rPr>
      </w:pPr>
      <w:bookmarkStart w:id="3" w:name="_Toc861739487"/>
      <w:r>
        <w:rPr>
          <w:rFonts w:hint="eastAsia" w:ascii="Times New Roman" w:hAnsi="Times New Roman" w:eastAsia="方正楷体_GB2312"/>
          <w:b/>
          <w:bCs/>
          <w:sz w:val="32"/>
          <w:szCs w:val="32"/>
        </w:rPr>
        <w:t>（一）部门（单位）基本情况</w:t>
      </w:r>
      <w:bookmarkEnd w:id="3"/>
    </w:p>
    <w:p>
      <w:pPr>
        <w:spacing w:line="580" w:lineRule="exact"/>
        <w:ind w:firstLine="642" w:firstLineChars="200"/>
        <w:rPr>
          <w:rFonts w:hint="eastAsia" w:ascii="仿宋_GB2312" w:eastAsia="仿宋_GB2312"/>
          <w:b/>
          <w:bCs/>
          <w:sz w:val="32"/>
          <w:szCs w:val="32"/>
        </w:rPr>
      </w:pPr>
      <w:r>
        <w:rPr>
          <w:rFonts w:hint="eastAsia" w:ascii="仿宋_GB2312" w:eastAsia="仿宋_GB2312"/>
          <w:b/>
          <w:bCs/>
          <w:sz w:val="32"/>
          <w:szCs w:val="32"/>
        </w:rPr>
        <w:t>1.单位基本情况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湘西自治州建设工程质量安全监督管理站，为正科级全额拨款事业单位，主管部门为湘西土家族苗族自治州住房和城乡建设局，单位统一社会信用代码为：12433100570263953C。部门职责：</w:t>
      </w:r>
      <w:r>
        <w:rPr>
          <w:rFonts w:ascii="仿宋_GB2312" w:eastAsia="仿宋_GB2312"/>
          <w:sz w:val="32"/>
          <w:szCs w:val="32"/>
        </w:rPr>
        <w:t>①</w:t>
      </w:r>
      <w:r>
        <w:rPr>
          <w:rFonts w:hint="eastAsia" w:ascii="仿宋_GB2312" w:eastAsia="仿宋_GB2312"/>
          <w:sz w:val="32"/>
          <w:szCs w:val="32"/>
        </w:rPr>
        <w:t>负责对各县市建设工程质量安全监督工作的业务指导和管理；</w:t>
      </w:r>
      <w:r>
        <w:rPr>
          <w:rFonts w:ascii="仿宋_GB2312" w:eastAsia="仿宋_GB2312"/>
          <w:sz w:val="32"/>
          <w:szCs w:val="32"/>
        </w:rPr>
        <w:t>②</w:t>
      </w:r>
      <w:r>
        <w:rPr>
          <w:rFonts w:hint="eastAsia" w:ascii="仿宋_GB2312" w:eastAsia="仿宋_GB2312"/>
          <w:sz w:val="32"/>
          <w:szCs w:val="32"/>
        </w:rPr>
        <w:t>负责对州管项目责任主体和有关机构履行质量安全责任行为的监督检查；</w:t>
      </w:r>
      <w:r>
        <w:rPr>
          <w:rFonts w:ascii="仿宋_GB2312" w:eastAsia="仿宋_GB2312"/>
          <w:sz w:val="32"/>
          <w:szCs w:val="32"/>
        </w:rPr>
        <w:t>③</w:t>
      </w:r>
      <w:r>
        <w:rPr>
          <w:rFonts w:hint="eastAsia" w:ascii="仿宋_GB2312" w:eastAsia="仿宋_GB2312"/>
          <w:sz w:val="32"/>
          <w:szCs w:val="32"/>
        </w:rPr>
        <w:t>负责对州管项目工程实体质量安全的监督检查；④负责对州管项目施工技术资料、监理资料以及检测报告等有关工程质量的文件和资料的监督检查；</w:t>
      </w:r>
      <w:r>
        <w:rPr>
          <w:rFonts w:ascii="仿宋_GB2312" w:eastAsia="仿宋_GB2312"/>
          <w:sz w:val="32"/>
          <w:szCs w:val="32"/>
        </w:rPr>
        <w:t>⑤</w:t>
      </w:r>
      <w:r>
        <w:rPr>
          <w:rFonts w:hint="eastAsia" w:ascii="仿宋_GB2312" w:eastAsia="仿宋_GB2312"/>
          <w:sz w:val="32"/>
          <w:szCs w:val="32"/>
        </w:rPr>
        <w:t>负责对工程竣工验收的监督检查；</w:t>
      </w:r>
      <w:r>
        <w:rPr>
          <w:rFonts w:ascii="仿宋_GB2312" w:eastAsia="仿宋_GB2312"/>
          <w:sz w:val="32"/>
          <w:szCs w:val="32"/>
        </w:rPr>
        <w:t>⑥</w:t>
      </w:r>
      <w:r>
        <w:rPr>
          <w:rFonts w:hint="eastAsia" w:ascii="仿宋_GB2312" w:eastAsia="仿宋_GB2312"/>
          <w:sz w:val="32"/>
          <w:szCs w:val="32"/>
        </w:rPr>
        <w:t>负责对混凝预制构件及预拌混凝土质量的监督检查；</w:t>
      </w:r>
      <w:r>
        <w:rPr>
          <w:rFonts w:ascii="仿宋_GB2312" w:eastAsia="仿宋_GB2312"/>
          <w:sz w:val="32"/>
          <w:szCs w:val="32"/>
        </w:rPr>
        <w:t>⑦</w:t>
      </w:r>
      <w:r>
        <w:rPr>
          <w:rFonts w:hint="eastAsia" w:ascii="仿宋_GB2312" w:eastAsia="仿宋_GB2312"/>
          <w:sz w:val="32"/>
          <w:szCs w:val="32"/>
        </w:rPr>
        <w:t>提交工程质量监督报告，检验、检测、检查施工现场使用安全防护用具及机器设备；</w:t>
      </w:r>
      <w:r>
        <w:rPr>
          <w:rFonts w:ascii="仿宋_GB2312" w:eastAsia="仿宋_GB2312"/>
          <w:sz w:val="32"/>
          <w:szCs w:val="32"/>
        </w:rPr>
        <w:t>⑧</w:t>
      </w:r>
      <w:r>
        <w:rPr>
          <w:rFonts w:hint="eastAsia" w:ascii="仿宋_GB2312" w:eastAsia="仿宋_GB2312"/>
          <w:sz w:val="32"/>
          <w:szCs w:val="32"/>
        </w:rPr>
        <w:t>协助建设行政部门组织或参与工程重大质量安全事故的调查处理；</w:t>
      </w:r>
      <w:r>
        <w:rPr>
          <w:rFonts w:ascii="仿宋_GB2312" w:eastAsia="仿宋_GB2312"/>
          <w:sz w:val="32"/>
          <w:szCs w:val="32"/>
        </w:rPr>
        <w:t>⑨</w:t>
      </w:r>
      <w:r>
        <w:rPr>
          <w:rFonts w:hint="eastAsia" w:ascii="仿宋_GB2312" w:eastAsia="仿宋_GB2312"/>
          <w:sz w:val="32"/>
          <w:szCs w:val="32"/>
        </w:rPr>
        <w:t>组织调查处理和统计伤亡事故；监督施工现场安全达标和文明施工；</w:t>
      </w:r>
      <w:r>
        <w:rPr>
          <w:rFonts w:ascii="仿宋_GB2312" w:eastAsia="仿宋_GB2312"/>
          <w:sz w:val="32"/>
          <w:szCs w:val="32"/>
        </w:rPr>
        <w:t>⑩</w:t>
      </w:r>
      <w:r>
        <w:rPr>
          <w:rFonts w:hint="eastAsia" w:ascii="仿宋_GB2312" w:eastAsia="仿宋_GB2312"/>
          <w:sz w:val="32"/>
          <w:szCs w:val="32"/>
        </w:rPr>
        <w:t>做好建设行政主管部门以及其他有关部门交办的工程（产品）质量监督检查、重大工程质量事故鉴定、质量纠纷仲裁检测、检验测试技术的研究和开发，有关规范、标准的制定和修订工作；⑪承担建设工程质量检测鉴定工作，出具法定检测数据；⑫完成州住房和城乡建设局交办的其他工作。</w:t>
      </w:r>
    </w:p>
    <w:p>
      <w:pPr>
        <w:spacing w:line="580" w:lineRule="exact"/>
        <w:ind w:firstLine="642" w:firstLineChars="200"/>
        <w:rPr>
          <w:rFonts w:hint="eastAsia" w:ascii="仿宋_GB2312" w:eastAsia="仿宋_GB2312"/>
          <w:b/>
          <w:bCs/>
          <w:sz w:val="32"/>
          <w:szCs w:val="32"/>
        </w:rPr>
      </w:pPr>
      <w:r>
        <w:rPr>
          <w:rFonts w:hint="eastAsia" w:ascii="仿宋_GB2312" w:eastAsia="仿宋_GB2312"/>
          <w:b/>
          <w:bCs/>
          <w:sz w:val="32"/>
          <w:szCs w:val="32"/>
        </w:rPr>
        <w:t>2.单位人员情况</w:t>
      </w:r>
    </w:p>
    <w:p>
      <w:pPr>
        <w:spacing w:line="580" w:lineRule="exact"/>
        <w:ind w:firstLine="640" w:firstLineChars="200"/>
        <w:rPr>
          <w:rFonts w:hint="eastAsia" w:ascii="仿宋_GB2312" w:hAnsi="楷体_GB2312" w:eastAsia="仿宋_GB2312" w:cs="楷体_GB2312"/>
          <w:bCs/>
          <w:sz w:val="32"/>
          <w:szCs w:val="32"/>
          <w:shd w:val="clear" w:color="auto" w:fill="FFFFFF"/>
          <w:lang w:bidi="ar"/>
        </w:rPr>
      </w:pPr>
      <w:r>
        <w:rPr>
          <w:rFonts w:hint="eastAsia" w:ascii="仿宋_GB2312" w:eastAsia="仿宋_GB2312"/>
          <w:sz w:val="32"/>
          <w:szCs w:val="32"/>
        </w:rPr>
        <w:t>截至2022年12月31日止</w:t>
      </w:r>
      <w:r>
        <w:rPr>
          <w:rFonts w:hint="eastAsia" w:ascii="仿宋_GB2312" w:hAnsi="楷体_GB2312" w:eastAsia="仿宋_GB2312" w:cs="楷体_GB2312"/>
          <w:bCs/>
          <w:sz w:val="32"/>
          <w:szCs w:val="32"/>
          <w:shd w:val="clear" w:color="auto" w:fill="FFFFFF"/>
          <w:lang w:bidi="ar"/>
        </w:rPr>
        <w:t>，</w:t>
      </w:r>
      <w:r>
        <w:rPr>
          <w:rFonts w:hint="eastAsia" w:ascii="仿宋_GB2312" w:eastAsia="仿宋_GB2312"/>
          <w:sz w:val="32"/>
          <w:szCs w:val="32"/>
        </w:rPr>
        <w:t>根据编委核定，本单位核定编制25人，</w:t>
      </w:r>
      <w:r>
        <w:rPr>
          <w:rFonts w:hint="eastAsia" w:ascii="仿宋_GB2312" w:hAnsi="楷体_GB2312" w:eastAsia="仿宋_GB2312" w:cs="楷体_GB2312"/>
          <w:bCs/>
          <w:sz w:val="32"/>
          <w:szCs w:val="32"/>
          <w:shd w:val="clear" w:color="auto" w:fill="FFFFFF"/>
          <w:lang w:bidi="ar"/>
        </w:rPr>
        <w:t>均为全额拨款事业编制人员</w:t>
      </w:r>
      <w:r>
        <w:rPr>
          <w:rFonts w:hint="eastAsia" w:ascii="仿宋_GB2312" w:eastAsia="仿宋_GB2312"/>
          <w:sz w:val="32"/>
          <w:szCs w:val="32"/>
        </w:rPr>
        <w:t>。年末</w:t>
      </w:r>
      <w:r>
        <w:rPr>
          <w:rFonts w:hint="eastAsia" w:ascii="仿宋_GB2312" w:hAnsi="楷体_GB2312" w:eastAsia="仿宋_GB2312" w:cs="楷体_GB2312"/>
          <w:bCs/>
          <w:sz w:val="32"/>
          <w:szCs w:val="32"/>
          <w:shd w:val="clear" w:color="auto" w:fill="FFFFFF"/>
          <w:lang w:bidi="ar"/>
        </w:rPr>
        <w:t>在编在岗工作人员25人。</w:t>
      </w:r>
    </w:p>
    <w:p>
      <w:pPr>
        <w:widowControl/>
        <w:spacing w:line="620" w:lineRule="exact"/>
        <w:ind w:firstLine="640"/>
        <w:outlineLvl w:val="1"/>
        <w:rPr>
          <w:rFonts w:hint="eastAsia" w:ascii="Times New Roman" w:hAnsi="Times New Roman" w:eastAsia="方正楷体_GB2312"/>
          <w:b/>
          <w:bCs/>
          <w:sz w:val="32"/>
          <w:szCs w:val="32"/>
        </w:rPr>
      </w:pPr>
      <w:bookmarkStart w:id="4" w:name="_Toc1164561616"/>
      <w:r>
        <w:rPr>
          <w:rFonts w:hint="eastAsia" w:ascii="Times New Roman" w:hAnsi="Times New Roman" w:eastAsia="方正楷体_GB2312"/>
          <w:b/>
          <w:bCs/>
          <w:sz w:val="32"/>
          <w:szCs w:val="32"/>
        </w:rPr>
        <w:t>（二）年度整体支出绩效任务</w:t>
      </w:r>
      <w:bookmarkEnd w:id="4"/>
    </w:p>
    <w:p>
      <w:pPr>
        <w:spacing w:line="580" w:lineRule="exact"/>
        <w:ind w:firstLine="642" w:firstLineChars="200"/>
        <w:rPr>
          <w:rFonts w:hint="eastAsia" w:ascii="仿宋_GB2312" w:eastAsia="仿宋_GB2312"/>
          <w:b/>
          <w:bCs/>
          <w:sz w:val="32"/>
          <w:szCs w:val="32"/>
        </w:rPr>
      </w:pPr>
      <w:bookmarkStart w:id="5" w:name="_Toc428713160"/>
      <w:bookmarkStart w:id="6" w:name="_Toc16700"/>
      <w:r>
        <w:rPr>
          <w:rFonts w:hint="eastAsia" w:ascii="仿宋_GB2312" w:eastAsia="仿宋_GB2312"/>
          <w:b/>
          <w:bCs/>
          <w:sz w:val="32"/>
          <w:szCs w:val="32"/>
        </w:rPr>
        <w:t xml:space="preserve"> </w:t>
      </w:r>
      <w:bookmarkEnd w:id="5"/>
      <w:r>
        <w:rPr>
          <w:rFonts w:hint="eastAsia" w:ascii="仿宋_GB2312" w:eastAsia="仿宋_GB2312"/>
          <w:b/>
          <w:bCs/>
          <w:sz w:val="32"/>
          <w:szCs w:val="32"/>
        </w:rPr>
        <w:t>1.年度整体支出绩效目标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（1）年度总体目标：①完成省州制定的各项目标任务加强党建引领和精神文明建设；②强化建设工程质量和安全监管强化工程质量安全监督管理；③强化消防验收监管。</w:t>
      </w:r>
    </w:p>
    <w:p>
      <w:pPr>
        <w:spacing w:line="580" w:lineRule="exact"/>
        <w:ind w:firstLine="640" w:firstLineChars="200"/>
        <w:rPr>
          <w:rFonts w:hint="eastAsia" w:ascii="仿宋_GB2312" w:eastAsia="仿宋_GB2312"/>
          <w:sz w:val="32"/>
          <w:szCs w:val="32"/>
        </w:rPr>
      </w:pPr>
      <w:bookmarkStart w:id="7" w:name="_Toc106974267"/>
      <w:bookmarkStart w:id="8" w:name="_Toc106975162"/>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）产出指标：①消防验收监管：≧20次；②工程安全治理开展安全生产标准化考评：≧20次；</w:t>
      </w:r>
      <w:bookmarkEnd w:id="7"/>
      <w:bookmarkEnd w:id="8"/>
      <w:bookmarkStart w:id="9" w:name="_Toc106975163"/>
      <w:bookmarkStart w:id="10" w:name="_Toc106974268"/>
      <w:r>
        <w:rPr>
          <w:rFonts w:hint="eastAsia" w:ascii="仿宋_GB2312" w:eastAsia="仿宋_GB2312"/>
          <w:sz w:val="32"/>
          <w:szCs w:val="32"/>
        </w:rPr>
        <w:t>③工程质量专项整治：工程质量专项整治检査项目次数不少于40次；④重点工作完成时间：2022年；⑤在职人员控制率</w:t>
      </w:r>
      <w:r>
        <w:rPr>
          <w:rFonts w:hint="eastAsia" w:ascii="仿宋_GB2312" w:eastAsia="仿宋_GB2312"/>
          <w:sz w:val="32"/>
          <w:szCs w:val="32"/>
        </w:rPr>
        <w:tab/>
      </w:r>
      <w:r>
        <w:rPr>
          <w:rFonts w:hint="eastAsia" w:ascii="仿宋_GB2312" w:eastAsia="仿宋_GB2312"/>
          <w:sz w:val="32"/>
          <w:szCs w:val="32"/>
        </w:rPr>
        <w:t>≦100%；⑥“三公经费”控制率：≦100%；⑦公用经费控制率：≦100%。</w:t>
      </w:r>
      <w:bookmarkEnd w:id="9"/>
      <w:bookmarkEnd w:id="10"/>
    </w:p>
    <w:p>
      <w:pPr>
        <w:widowControl/>
        <w:spacing w:line="620" w:lineRule="exact"/>
        <w:ind w:left="561"/>
        <w:outlineLvl w:val="0"/>
        <w:rPr>
          <w:rFonts w:hint="eastAsia" w:ascii="黑体" w:hAnsi="黑体" w:eastAsia="黑体"/>
          <w:sz w:val="32"/>
          <w:szCs w:val="32"/>
        </w:rPr>
      </w:pPr>
      <w:bookmarkStart w:id="11" w:name="_Toc814575855"/>
      <w:r>
        <w:rPr>
          <w:rFonts w:hint="eastAsia" w:ascii="黑体" w:hAnsi="黑体" w:eastAsia="黑体"/>
          <w:sz w:val="32"/>
          <w:szCs w:val="32"/>
        </w:rPr>
        <w:t>二、一般公共预算支出情况</w:t>
      </w:r>
      <w:bookmarkEnd w:id="6"/>
      <w:bookmarkEnd w:id="11"/>
    </w:p>
    <w:p>
      <w:pPr>
        <w:spacing w:line="620" w:lineRule="exact"/>
        <w:ind w:firstLine="481" w:firstLineChars="150"/>
        <w:outlineLvl w:val="1"/>
        <w:rPr>
          <w:rFonts w:hint="eastAsia" w:ascii="楷体_GB2312" w:hAnsi="楷体_GB2312" w:eastAsia="楷体_GB2312" w:cs="楷体_GB2312"/>
          <w:b/>
          <w:sz w:val="32"/>
          <w:szCs w:val="32"/>
          <w:shd w:val="clear" w:color="auto" w:fill="FFFFFF"/>
          <w:lang w:bidi="ar"/>
        </w:rPr>
      </w:pPr>
      <w:bookmarkStart w:id="12" w:name="_Toc1165043795"/>
      <w:r>
        <w:rPr>
          <w:rFonts w:hint="eastAsia" w:ascii="楷体_GB2312" w:hAnsi="楷体_GB2312" w:eastAsia="楷体_GB2312" w:cs="楷体_GB2312"/>
          <w:b/>
          <w:sz w:val="32"/>
          <w:szCs w:val="32"/>
          <w:shd w:val="clear" w:color="auto" w:fill="FFFFFF"/>
          <w:lang w:bidi="ar"/>
        </w:rPr>
        <w:t>（一）基本支出情况</w:t>
      </w:r>
      <w:bookmarkEnd w:id="12"/>
    </w:p>
    <w:p>
      <w:pPr>
        <w:spacing w:line="620" w:lineRule="exact"/>
        <w:ind w:firstLine="420"/>
        <w:rPr>
          <w:rFonts w:hint="eastAsia" w:ascii="仿宋_GB2312" w:hAnsi="楷体_GB2312" w:eastAsia="仿宋_GB2312" w:cs="楷体_GB2312"/>
          <w:bCs/>
          <w:sz w:val="32"/>
          <w:szCs w:val="32"/>
          <w:shd w:val="clear" w:color="auto" w:fill="FFFFFF"/>
          <w:lang w:bidi="ar"/>
        </w:rPr>
      </w:pPr>
      <w:r>
        <w:rPr>
          <w:rFonts w:hint="eastAsia" w:ascii="仿宋_GB2312" w:hAnsi="楷体_GB2312" w:eastAsia="仿宋_GB2312" w:cs="楷体_GB2312"/>
          <w:bCs/>
          <w:sz w:val="32"/>
          <w:szCs w:val="32"/>
          <w:shd w:val="clear" w:color="auto" w:fill="FFFFFF"/>
          <w:lang w:bidi="ar"/>
        </w:rPr>
        <w:t>2022年本单位基本支出决算数448.75万元，其中：工资福利支出281.15万元，商品和服务支出28.54万元，对个人和家庭的补助139.06万元。</w:t>
      </w:r>
    </w:p>
    <w:p>
      <w:pPr>
        <w:widowControl/>
        <w:spacing w:line="620" w:lineRule="exact"/>
        <w:ind w:firstLine="561"/>
        <w:outlineLvl w:val="1"/>
        <w:rPr>
          <w:rFonts w:hint="eastAsia" w:ascii="楷体_GB2312" w:hAnsi="楷体_GB2312" w:eastAsia="楷体_GB2312" w:cs="楷体_GB2312"/>
          <w:b/>
          <w:sz w:val="32"/>
          <w:szCs w:val="32"/>
          <w:shd w:val="clear" w:color="auto" w:fill="FFFFFF"/>
          <w:lang w:bidi="ar"/>
        </w:rPr>
      </w:pPr>
      <w:bookmarkStart w:id="13" w:name="_Toc807765075"/>
      <w:r>
        <w:rPr>
          <w:rFonts w:hint="eastAsia" w:ascii="楷体_GB2312" w:hAnsi="楷体_GB2312" w:eastAsia="楷体_GB2312" w:cs="楷体_GB2312"/>
          <w:b/>
          <w:sz w:val="32"/>
          <w:szCs w:val="32"/>
          <w:shd w:val="clear" w:color="auto" w:fill="FFFFFF"/>
          <w:lang w:bidi="ar"/>
        </w:rPr>
        <w:t>（二）项目支出情况</w:t>
      </w:r>
      <w:bookmarkEnd w:id="13"/>
    </w:p>
    <w:p>
      <w:pPr>
        <w:spacing w:line="620" w:lineRule="exact"/>
        <w:ind w:firstLine="420"/>
        <w:rPr>
          <w:rFonts w:hint="eastAsia" w:ascii="仿宋_GB2312" w:hAnsi="楷体_GB2312" w:eastAsia="仿宋_GB2312" w:cs="楷体_GB2312"/>
          <w:bCs/>
          <w:sz w:val="32"/>
          <w:szCs w:val="32"/>
          <w:shd w:val="clear" w:color="auto" w:fill="FFFFFF"/>
          <w:lang w:bidi="ar"/>
        </w:rPr>
      </w:pPr>
      <w:bookmarkStart w:id="14" w:name="_Toc17743"/>
      <w:r>
        <w:rPr>
          <w:rFonts w:hint="eastAsia" w:ascii="仿宋_GB2312" w:hAnsi="楷体_GB2312" w:eastAsia="仿宋_GB2312" w:cs="楷体_GB2312"/>
          <w:bCs/>
          <w:sz w:val="32"/>
          <w:szCs w:val="32"/>
          <w:shd w:val="clear" w:color="auto" w:fill="FFFFFF"/>
          <w:lang w:bidi="ar"/>
        </w:rPr>
        <w:t>2022年州本单位一般公共预算无项目支出。</w:t>
      </w:r>
    </w:p>
    <w:p>
      <w:pPr>
        <w:widowControl/>
        <w:spacing w:line="620" w:lineRule="exact"/>
        <w:ind w:left="561"/>
        <w:outlineLvl w:val="0"/>
        <w:rPr>
          <w:rFonts w:hint="eastAsia" w:ascii="黑体" w:hAnsi="黑体" w:eastAsia="黑体"/>
          <w:sz w:val="32"/>
          <w:szCs w:val="32"/>
        </w:rPr>
      </w:pPr>
      <w:bookmarkStart w:id="15" w:name="_Toc806378705"/>
      <w:r>
        <w:rPr>
          <w:rFonts w:hint="eastAsia" w:ascii="黑体" w:hAnsi="黑体" w:eastAsia="黑体"/>
          <w:sz w:val="32"/>
          <w:szCs w:val="32"/>
        </w:rPr>
        <w:t>三、政府性基金预算支出情况</w:t>
      </w:r>
      <w:bookmarkEnd w:id="14"/>
      <w:bookmarkEnd w:id="15"/>
    </w:p>
    <w:p>
      <w:pPr>
        <w:widowControl/>
        <w:spacing w:line="620" w:lineRule="exact"/>
        <w:ind w:firstLine="562"/>
        <w:rPr>
          <w:rFonts w:hint="eastAsia" w:ascii="楷体_GB2312" w:hAnsi="楷体_GB2312" w:eastAsia="楷体_GB2312" w:cs="楷体_GB2312"/>
          <w:bCs/>
          <w:sz w:val="32"/>
          <w:szCs w:val="32"/>
          <w:shd w:val="clear" w:color="auto" w:fill="FFFFFF"/>
          <w:lang w:bidi="ar"/>
        </w:rPr>
      </w:pPr>
      <w:r>
        <w:rPr>
          <w:rFonts w:hint="eastAsia" w:ascii="仿宋_GB2312" w:hAnsi="楷体_GB2312" w:eastAsia="仿宋_GB2312" w:cs="楷体_GB2312"/>
          <w:bCs/>
          <w:sz w:val="32"/>
          <w:szCs w:val="32"/>
          <w:shd w:val="clear" w:color="auto" w:fill="FFFFFF"/>
          <w:lang w:bidi="ar"/>
        </w:rPr>
        <w:t>2022年本单位无政府性基金预算。</w:t>
      </w:r>
    </w:p>
    <w:p>
      <w:pPr>
        <w:widowControl/>
        <w:spacing w:line="620" w:lineRule="exact"/>
        <w:ind w:left="561"/>
        <w:outlineLvl w:val="0"/>
        <w:rPr>
          <w:rFonts w:hint="eastAsia" w:ascii="黑体" w:hAnsi="黑体" w:eastAsia="黑体"/>
          <w:sz w:val="32"/>
          <w:szCs w:val="32"/>
        </w:rPr>
      </w:pPr>
      <w:bookmarkStart w:id="16" w:name="_Toc28647"/>
      <w:bookmarkStart w:id="17" w:name="_Toc1320799627"/>
      <w:r>
        <w:rPr>
          <w:rFonts w:hint="eastAsia" w:ascii="黑体" w:hAnsi="黑体" w:eastAsia="黑体"/>
          <w:sz w:val="32"/>
          <w:szCs w:val="32"/>
        </w:rPr>
        <w:t>四、国有资本经营预算支出情况</w:t>
      </w:r>
      <w:bookmarkEnd w:id="16"/>
      <w:bookmarkEnd w:id="17"/>
    </w:p>
    <w:p>
      <w:pPr>
        <w:widowControl/>
        <w:spacing w:line="620" w:lineRule="exact"/>
        <w:ind w:left="562"/>
        <w:rPr>
          <w:rFonts w:ascii="楷体_GB2312" w:hAnsi="楷体_GB2312" w:eastAsia="楷体_GB2312" w:cs="楷体_GB2312"/>
          <w:bCs/>
          <w:sz w:val="32"/>
          <w:szCs w:val="32"/>
          <w:shd w:val="clear" w:color="auto" w:fill="FFFFFF"/>
          <w:lang w:bidi="ar"/>
        </w:rPr>
      </w:pPr>
      <w:r>
        <w:rPr>
          <w:rFonts w:hint="eastAsia" w:ascii="仿宋_GB2312" w:hAnsi="楷体_GB2312" w:eastAsia="仿宋_GB2312" w:cs="楷体_GB2312"/>
          <w:bCs/>
          <w:sz w:val="32"/>
          <w:szCs w:val="32"/>
          <w:shd w:val="clear" w:color="auto" w:fill="FFFFFF"/>
          <w:lang w:bidi="ar"/>
        </w:rPr>
        <w:t>2022年本单位无国有资本经营预算。</w:t>
      </w:r>
    </w:p>
    <w:p>
      <w:pPr>
        <w:spacing w:line="580" w:lineRule="exact"/>
        <w:ind w:left="400" w:leftChars="200"/>
        <w:outlineLvl w:val="0"/>
        <w:rPr>
          <w:rFonts w:hint="eastAsia" w:ascii="黑体" w:hAnsi="黑体" w:eastAsia="黑体"/>
          <w:sz w:val="32"/>
          <w:szCs w:val="32"/>
        </w:rPr>
      </w:pPr>
      <w:bookmarkStart w:id="18" w:name="_Toc1688"/>
      <w:r>
        <w:rPr>
          <w:rFonts w:hint="eastAsia" w:ascii="黑体" w:hAnsi="黑体" w:eastAsia="黑体"/>
          <w:sz w:val="32"/>
          <w:szCs w:val="32"/>
        </w:rPr>
        <w:t xml:space="preserve"> </w:t>
      </w:r>
      <w:bookmarkStart w:id="19" w:name="_Toc1598158485"/>
      <w:r>
        <w:rPr>
          <w:rFonts w:hint="eastAsia" w:ascii="黑体" w:hAnsi="黑体" w:eastAsia="黑体"/>
          <w:sz w:val="32"/>
          <w:szCs w:val="32"/>
        </w:rPr>
        <w:t>五、社会保险基金预算支出情况</w:t>
      </w:r>
      <w:bookmarkEnd w:id="18"/>
      <w:bookmarkEnd w:id="19"/>
    </w:p>
    <w:p>
      <w:pPr>
        <w:widowControl/>
        <w:spacing w:line="620" w:lineRule="exact"/>
        <w:ind w:firstLine="562"/>
        <w:rPr>
          <w:rFonts w:hint="eastAsia" w:ascii="仿宋_GB2312" w:hAnsi="楷体_GB2312" w:eastAsia="仿宋_GB2312" w:cs="楷体_GB2312"/>
          <w:bCs/>
          <w:sz w:val="32"/>
          <w:szCs w:val="32"/>
          <w:shd w:val="clear" w:color="auto" w:fill="FFFFFF"/>
          <w:lang w:bidi="ar"/>
        </w:rPr>
      </w:pPr>
      <w:r>
        <w:rPr>
          <w:rFonts w:hint="eastAsia" w:ascii="仿宋_GB2312" w:hAnsi="楷体_GB2312" w:eastAsia="仿宋_GB2312" w:cs="楷体_GB2312"/>
          <w:bCs/>
          <w:sz w:val="32"/>
          <w:szCs w:val="32"/>
          <w:shd w:val="clear" w:color="auto" w:fill="FFFFFF"/>
          <w:lang w:bidi="ar"/>
        </w:rPr>
        <w:t>2022年本单位无社会保险基金预算。</w:t>
      </w:r>
    </w:p>
    <w:p>
      <w:pPr>
        <w:spacing w:line="580" w:lineRule="exact"/>
        <w:ind w:firstLine="640" w:firstLineChars="200"/>
        <w:outlineLvl w:val="0"/>
        <w:rPr>
          <w:rFonts w:hint="eastAsia" w:ascii="黑体" w:hAnsi="黑体" w:eastAsia="黑体"/>
          <w:sz w:val="32"/>
          <w:szCs w:val="32"/>
        </w:rPr>
      </w:pPr>
      <w:bookmarkStart w:id="20" w:name="_Toc3655"/>
      <w:bookmarkStart w:id="21" w:name="_Toc248333854"/>
      <w:r>
        <w:rPr>
          <w:rFonts w:hint="eastAsia" w:ascii="黑体" w:hAnsi="黑体" w:eastAsia="黑体"/>
          <w:sz w:val="32"/>
          <w:szCs w:val="32"/>
        </w:rPr>
        <w:t>六、单位整体支出绩效情况</w:t>
      </w:r>
      <w:bookmarkEnd w:id="20"/>
      <w:bookmarkEnd w:id="21"/>
    </w:p>
    <w:p>
      <w:pPr>
        <w:widowControl/>
        <w:spacing w:line="580" w:lineRule="exact"/>
        <w:ind w:firstLine="640" w:firstLineChars="200"/>
        <w:rPr>
          <w:rFonts w:hint="eastAsia" w:ascii="仿宋_GB2312" w:hAnsi="楷体_GB2312" w:eastAsia="仿宋_GB2312" w:cs="楷体_GB2312"/>
          <w:bCs/>
          <w:sz w:val="32"/>
          <w:szCs w:val="32"/>
          <w:shd w:val="clear" w:color="auto" w:fill="FFFFFF"/>
          <w:lang w:bidi="ar"/>
        </w:rPr>
      </w:pPr>
      <w:r>
        <w:rPr>
          <w:rFonts w:hint="eastAsia" w:ascii="仿宋_GB2312" w:hAnsi="楷体_GB2312" w:eastAsia="仿宋_GB2312" w:cs="楷体_GB2312"/>
          <w:bCs/>
          <w:sz w:val="32"/>
          <w:szCs w:val="32"/>
          <w:shd w:val="clear" w:color="auto" w:fill="FFFFFF"/>
          <w:lang w:bidi="ar"/>
        </w:rPr>
        <w:t xml:space="preserve">2022年，本单位紧紧围绕今年全州住房城乡建设工作要点和年初工作计划，坚持以党建引领，以“城市建设安全专项整治三年行动”为契机，以工程质量和安全生产标准化考评为抓手，不断推动全州建设工程质量安全监督管理工作发展，完成了各项工作任务指标。 </w:t>
      </w:r>
    </w:p>
    <w:p>
      <w:pPr>
        <w:widowControl/>
        <w:spacing w:line="620" w:lineRule="exact"/>
        <w:ind w:firstLine="640"/>
        <w:outlineLvl w:val="1"/>
        <w:rPr>
          <w:rFonts w:hint="eastAsia" w:ascii="Times New Roman" w:hAnsi="Times New Roman" w:eastAsia="方正楷体_GB2312"/>
          <w:b/>
          <w:bCs/>
          <w:sz w:val="32"/>
          <w:szCs w:val="32"/>
        </w:rPr>
      </w:pPr>
      <w:bookmarkStart w:id="22" w:name="_Toc446698348"/>
      <w:bookmarkStart w:id="23" w:name="_Toc106521694"/>
      <w:r>
        <w:rPr>
          <w:rFonts w:hint="eastAsia" w:ascii="Times New Roman" w:hAnsi="Times New Roman" w:eastAsia="方正楷体_GB2312"/>
          <w:b/>
          <w:bCs/>
          <w:sz w:val="32"/>
          <w:szCs w:val="32"/>
        </w:rPr>
        <w:t>（一）年度总体目标完成情况</w:t>
      </w:r>
      <w:bookmarkEnd w:id="22"/>
      <w:bookmarkEnd w:id="23"/>
    </w:p>
    <w:p>
      <w:pPr>
        <w:widowControl/>
        <w:spacing w:line="580" w:lineRule="exact"/>
        <w:ind w:firstLine="640" w:firstLineChars="200"/>
        <w:rPr>
          <w:rFonts w:hint="eastAsia" w:ascii="仿宋_GB2312" w:hAnsi="楷体_GB2312" w:eastAsia="仿宋_GB2312" w:cs="楷体_GB2312"/>
          <w:bCs/>
          <w:sz w:val="32"/>
          <w:szCs w:val="32"/>
          <w:shd w:val="clear" w:color="auto" w:fill="FFFFFF"/>
          <w:lang w:bidi="ar"/>
        </w:rPr>
      </w:pPr>
      <w:r>
        <w:rPr>
          <w:rFonts w:hint="eastAsia" w:ascii="仿宋_GB2312" w:hAnsi="楷体_GB2312" w:eastAsia="仿宋_GB2312" w:cs="楷体_GB2312"/>
          <w:bCs/>
          <w:sz w:val="32"/>
          <w:szCs w:val="32"/>
          <w:shd w:val="clear" w:color="auto" w:fill="FFFFFF"/>
          <w:lang w:bidi="ar"/>
        </w:rPr>
        <w:t>截止2022年12月31日，本年年初设定的绩效任务均已完成。全州直管工程未出现重大质量安全事故；2022年重点工作已完成；部门总体支出控制在预算内；做好住宅类工程分户验收工作，本年度业主为房屋质量问题集体上访和投诉事件明显减少，维护了社会稳定；全年州直管工程对生态环境未造成不利影响；全年州直管工程安全优质施工，促进了社会良性发展；工程竣工验收备案率达95%；强化工程质量监管，创建质量安全标准示范工地2个；对25家检测机构进行全面检查；强化安全生产监管，严格开展施工现场安全隐患排查整治工作，全州共排查隐患1897处，其中重大隐患25处已经全部挂牌督办落实到位；开展行业从业人员培训考核工作，增强了行业从业人员的专业技术水平和能力；开展建筑施工应急救援演练，提升了全州建筑施工应急处置能力，强化了日常事故防控和救援意识。</w:t>
      </w:r>
    </w:p>
    <w:p>
      <w:pPr>
        <w:widowControl/>
        <w:spacing w:line="620" w:lineRule="exact"/>
        <w:ind w:firstLine="640"/>
        <w:outlineLvl w:val="1"/>
        <w:rPr>
          <w:rFonts w:hint="eastAsia" w:ascii="Times New Roman" w:hAnsi="Times New Roman" w:eastAsia="方正楷体_GB2312"/>
          <w:b/>
          <w:bCs/>
          <w:sz w:val="32"/>
          <w:szCs w:val="32"/>
        </w:rPr>
      </w:pPr>
      <w:bookmarkStart w:id="24" w:name="_Toc575456455"/>
      <w:r>
        <w:rPr>
          <w:rFonts w:hint="eastAsia" w:ascii="Times New Roman" w:hAnsi="Times New Roman" w:eastAsia="方正楷体_GB2312"/>
          <w:b/>
          <w:bCs/>
          <w:sz w:val="32"/>
          <w:szCs w:val="32"/>
        </w:rPr>
        <w:t>（二）预算执行情况</w:t>
      </w:r>
      <w:bookmarkEnd w:id="24"/>
    </w:p>
    <w:p>
      <w:pPr>
        <w:spacing w:line="580" w:lineRule="exact"/>
        <w:ind w:firstLine="642" w:firstLineChars="200"/>
        <w:rPr>
          <w:rFonts w:hint="eastAsia" w:ascii="仿宋" w:hAnsi="仿宋" w:eastAsia="仿宋" w:cs="仿宋"/>
          <w:b/>
          <w:sz w:val="32"/>
          <w:szCs w:val="32"/>
          <w:shd w:val="clear" w:color="auto" w:fill="FFFFFF"/>
          <w:lang w:bidi="ar"/>
        </w:rPr>
      </w:pPr>
      <w:r>
        <w:rPr>
          <w:rFonts w:hint="eastAsia" w:ascii="仿宋" w:hAnsi="仿宋" w:eastAsia="仿宋" w:cs="仿宋"/>
          <w:b/>
          <w:sz w:val="32"/>
          <w:szCs w:val="32"/>
          <w:shd w:val="clear" w:color="auto" w:fill="FFFFFF"/>
          <w:lang w:bidi="ar"/>
        </w:rPr>
        <w:t>1.预算执行率</w:t>
      </w:r>
    </w:p>
    <w:p>
      <w:pPr>
        <w:widowControl/>
        <w:spacing w:line="580" w:lineRule="exact"/>
        <w:ind w:firstLine="640" w:firstLineChars="200"/>
        <w:rPr>
          <w:rFonts w:hint="eastAsia" w:ascii="仿宋_GB2312" w:hAnsi="楷体_GB2312" w:eastAsia="仿宋_GB2312" w:cs="楷体_GB2312"/>
          <w:bCs/>
          <w:sz w:val="32"/>
          <w:szCs w:val="32"/>
          <w:shd w:val="clear" w:color="auto" w:fill="FFFFFF"/>
          <w:lang w:bidi="ar"/>
        </w:rPr>
      </w:pPr>
      <w:r>
        <w:rPr>
          <w:rFonts w:hint="eastAsia" w:ascii="仿宋_GB2312" w:hAnsi="楷体_GB2312" w:eastAsia="仿宋_GB2312" w:cs="楷体_GB2312"/>
          <w:bCs/>
          <w:sz w:val="32"/>
          <w:szCs w:val="32"/>
          <w:shd w:val="clear" w:color="auto" w:fill="FFFFFF"/>
          <w:lang w:bidi="ar"/>
        </w:rPr>
        <w:t>2022年年初预算资金为352.25万元,全年预算数为579.50万元，本年实际执行数为448.75 万元，预算执行率为77.44%。</w:t>
      </w:r>
    </w:p>
    <w:p>
      <w:pPr>
        <w:widowControl/>
        <w:spacing w:line="580" w:lineRule="exact"/>
        <w:ind w:firstLine="642" w:firstLineChars="200"/>
        <w:rPr>
          <w:rFonts w:hint="eastAsia" w:ascii="仿宋_GB2312" w:hAnsi="楷体_GB2312" w:eastAsia="仿宋_GB2312" w:cs="楷体_GB2312"/>
          <w:b/>
          <w:sz w:val="32"/>
          <w:szCs w:val="32"/>
          <w:shd w:val="clear" w:color="auto" w:fill="FFFFFF"/>
          <w:lang w:bidi="ar"/>
        </w:rPr>
      </w:pPr>
      <w:r>
        <w:rPr>
          <w:rFonts w:hint="eastAsia" w:ascii="仿宋_GB2312" w:hAnsi="楷体_GB2312" w:eastAsia="仿宋_GB2312" w:cs="楷体_GB2312"/>
          <w:b/>
          <w:sz w:val="32"/>
          <w:szCs w:val="32"/>
          <w:shd w:val="clear" w:color="auto" w:fill="FFFFFF"/>
          <w:lang w:bidi="ar"/>
        </w:rPr>
        <w:t>2.预算调整率</w:t>
      </w:r>
    </w:p>
    <w:p>
      <w:pPr>
        <w:widowControl/>
        <w:spacing w:line="580" w:lineRule="exact"/>
        <w:ind w:firstLine="640" w:firstLineChars="200"/>
        <w:rPr>
          <w:rFonts w:hint="eastAsia" w:ascii="仿宋_GB2312" w:hAnsi="楷体_GB2312" w:eastAsia="仿宋_GB2312" w:cs="楷体_GB2312"/>
          <w:bCs/>
          <w:sz w:val="32"/>
          <w:szCs w:val="32"/>
          <w:shd w:val="clear" w:color="auto" w:fill="FFFFFF"/>
          <w:lang w:bidi="ar"/>
        </w:rPr>
      </w:pPr>
      <w:r>
        <w:rPr>
          <w:rFonts w:hint="eastAsia" w:ascii="仿宋_GB2312" w:hAnsi="楷体_GB2312" w:eastAsia="仿宋_GB2312" w:cs="楷体_GB2312"/>
          <w:bCs/>
          <w:sz w:val="32"/>
          <w:szCs w:val="32"/>
          <w:shd w:val="clear" w:color="auto" w:fill="FFFFFF"/>
          <w:lang w:bidi="ar"/>
        </w:rPr>
        <w:t>2022年度预算调整金额为227.25万元，预算调整率为64.51%。</w:t>
      </w:r>
    </w:p>
    <w:p>
      <w:pPr>
        <w:widowControl/>
        <w:spacing w:line="580" w:lineRule="exact"/>
        <w:ind w:firstLine="642" w:firstLineChars="200"/>
        <w:rPr>
          <w:rFonts w:hint="eastAsia" w:ascii="仿宋_GB2312" w:hAnsi="楷体_GB2312" w:eastAsia="仿宋_GB2312" w:cs="楷体_GB2312"/>
          <w:b/>
          <w:sz w:val="32"/>
          <w:szCs w:val="32"/>
          <w:shd w:val="clear" w:color="auto" w:fill="FFFFFF"/>
          <w:lang w:bidi="ar"/>
        </w:rPr>
      </w:pPr>
      <w:r>
        <w:rPr>
          <w:rFonts w:hint="eastAsia" w:ascii="仿宋_GB2312" w:hAnsi="楷体_GB2312" w:eastAsia="仿宋_GB2312" w:cs="楷体_GB2312"/>
          <w:b/>
          <w:sz w:val="32"/>
          <w:szCs w:val="32"/>
          <w:shd w:val="clear" w:color="auto" w:fill="FFFFFF"/>
          <w:lang w:bidi="ar"/>
        </w:rPr>
        <w:t>3.年末结转结余情况</w:t>
      </w:r>
    </w:p>
    <w:p>
      <w:pPr>
        <w:widowControl/>
        <w:spacing w:line="580" w:lineRule="exact"/>
        <w:ind w:firstLine="640" w:firstLineChars="200"/>
        <w:rPr>
          <w:rFonts w:hint="eastAsia" w:ascii="仿宋_GB2312" w:hAnsi="楷体_GB2312" w:eastAsia="仿宋_GB2312" w:cs="楷体_GB2312"/>
          <w:bCs/>
          <w:color w:val="FF0000"/>
          <w:sz w:val="32"/>
          <w:szCs w:val="32"/>
          <w:shd w:val="clear" w:color="auto" w:fill="FFFFFF"/>
          <w:lang w:bidi="ar"/>
        </w:rPr>
      </w:pPr>
      <w:r>
        <w:rPr>
          <w:rFonts w:hint="eastAsia" w:ascii="仿宋_GB2312" w:hAnsi="楷体_GB2312" w:eastAsia="仿宋_GB2312" w:cs="楷体_GB2312"/>
          <w:bCs/>
          <w:sz w:val="32"/>
          <w:szCs w:val="32"/>
          <w:shd w:val="clear" w:color="auto" w:fill="FFFFFF"/>
          <w:lang w:bidi="ar"/>
        </w:rPr>
        <w:t>年末结转结余2.68万元，其中：基本支出结转--财政拨款结转0.51万元,项目支出结转－其他资金结转2.17万元。</w:t>
      </w:r>
    </w:p>
    <w:p>
      <w:pPr>
        <w:widowControl/>
        <w:spacing w:line="580" w:lineRule="exact"/>
        <w:ind w:firstLine="642" w:firstLineChars="200"/>
        <w:rPr>
          <w:rFonts w:hint="eastAsia" w:ascii="仿宋_GB2312" w:hAnsi="楷体_GB2312" w:eastAsia="仿宋_GB2312" w:cs="楷体_GB2312"/>
          <w:b/>
          <w:sz w:val="32"/>
          <w:szCs w:val="32"/>
          <w:shd w:val="clear" w:color="auto" w:fill="FFFFFF"/>
          <w:lang w:bidi="ar"/>
        </w:rPr>
      </w:pPr>
      <w:r>
        <w:rPr>
          <w:rFonts w:hint="eastAsia" w:ascii="仿宋_GB2312" w:hAnsi="楷体_GB2312" w:eastAsia="仿宋_GB2312" w:cs="楷体_GB2312"/>
          <w:b/>
          <w:sz w:val="32"/>
          <w:szCs w:val="32"/>
          <w:shd w:val="clear" w:color="auto" w:fill="FFFFFF"/>
          <w:lang w:bidi="ar"/>
        </w:rPr>
        <w:t>4.公用经费控制率</w:t>
      </w:r>
    </w:p>
    <w:p>
      <w:pPr>
        <w:widowControl/>
        <w:spacing w:line="580" w:lineRule="exact"/>
        <w:ind w:firstLine="640" w:firstLineChars="200"/>
        <w:rPr>
          <w:rFonts w:hint="eastAsia" w:ascii="仿宋_GB2312" w:hAnsi="楷体_GB2312" w:eastAsia="仿宋_GB2312" w:cs="楷体_GB2312"/>
          <w:bCs/>
          <w:sz w:val="32"/>
          <w:szCs w:val="32"/>
          <w:shd w:val="clear" w:color="auto" w:fill="FFFFFF"/>
          <w:lang w:bidi="ar"/>
        </w:rPr>
      </w:pPr>
      <w:r>
        <w:rPr>
          <w:rFonts w:hint="eastAsia" w:ascii="仿宋_GB2312" w:hAnsi="楷体_GB2312" w:eastAsia="仿宋_GB2312" w:cs="楷体_GB2312"/>
          <w:bCs/>
          <w:sz w:val="32"/>
          <w:szCs w:val="32"/>
          <w:shd w:val="clear" w:color="auto" w:fill="FFFFFF"/>
          <w:lang w:bidi="ar"/>
        </w:rPr>
        <w:t xml:space="preserve">2022年我单位预算管理各项指标控制较好。公用经费预算金额为70.24万元，实际支出公用经费总额 28.54万元，公用经费控制率40.63%。 </w:t>
      </w:r>
    </w:p>
    <w:p>
      <w:pPr>
        <w:widowControl/>
        <w:spacing w:line="580" w:lineRule="exact"/>
        <w:ind w:firstLine="642" w:firstLineChars="200"/>
        <w:rPr>
          <w:rFonts w:hint="eastAsia" w:ascii="仿宋_GB2312" w:hAnsi="楷体_GB2312" w:eastAsia="仿宋_GB2312" w:cs="楷体_GB2312"/>
          <w:b/>
          <w:sz w:val="32"/>
          <w:szCs w:val="32"/>
          <w:shd w:val="clear" w:color="auto" w:fill="FFFFFF"/>
          <w:lang w:bidi="ar"/>
        </w:rPr>
      </w:pPr>
      <w:r>
        <w:rPr>
          <w:rFonts w:hint="eastAsia" w:ascii="仿宋_GB2312" w:hAnsi="楷体_GB2312" w:eastAsia="仿宋_GB2312" w:cs="楷体_GB2312"/>
          <w:b/>
          <w:sz w:val="32"/>
          <w:szCs w:val="32"/>
          <w:shd w:val="clear" w:color="auto" w:fill="FFFFFF"/>
          <w:lang w:bidi="ar"/>
        </w:rPr>
        <w:t>5.“三公经费”控制率</w:t>
      </w:r>
    </w:p>
    <w:p>
      <w:pPr>
        <w:widowControl/>
        <w:spacing w:line="580" w:lineRule="exact"/>
        <w:ind w:firstLine="640" w:firstLineChars="200"/>
        <w:rPr>
          <w:rFonts w:hint="eastAsia" w:ascii="仿宋_GB2312" w:hAnsi="楷体_GB2312" w:eastAsia="仿宋_GB2312" w:cs="楷体_GB2312"/>
          <w:bCs/>
          <w:sz w:val="32"/>
          <w:szCs w:val="32"/>
          <w:shd w:val="clear" w:color="auto" w:fill="FFFFFF"/>
          <w:lang w:bidi="ar"/>
        </w:rPr>
      </w:pPr>
      <w:r>
        <w:rPr>
          <w:rFonts w:hint="eastAsia" w:ascii="仿宋_GB2312" w:hAnsi="楷体_GB2312" w:eastAsia="仿宋_GB2312" w:cs="楷体_GB2312"/>
          <w:bCs/>
          <w:sz w:val="32"/>
          <w:szCs w:val="32"/>
          <w:shd w:val="clear" w:color="auto" w:fill="FFFFFF"/>
          <w:lang w:bidi="ar"/>
        </w:rPr>
        <w:t>2022年“三公经费”预算安排数5.6万元，其中：公务用车运行维护费3.60万元，公务接待费2.00万元。实际支出数为0万元，均为公务用车运行维护费，“三公经费”控制率为0%，“三公经费”控制</w:t>
      </w:r>
      <w:r>
        <w:rPr>
          <w:rFonts w:hint="eastAsia" w:ascii="仿宋_GB2312" w:hAnsi="楷体_GB2312" w:eastAsia="仿宋_GB2312" w:cs="楷体_GB2312"/>
          <w:bCs/>
          <w:sz w:val="32"/>
          <w:szCs w:val="32"/>
          <w:shd w:val="clear" w:color="auto" w:fill="FFFFFF"/>
          <w:lang w:val="en-US" w:eastAsia="zh-CN" w:bidi="ar"/>
        </w:rPr>
        <w:t>较差</w:t>
      </w:r>
      <w:r>
        <w:rPr>
          <w:rFonts w:hint="eastAsia" w:ascii="仿宋_GB2312" w:hAnsi="楷体_GB2312" w:eastAsia="仿宋_GB2312" w:cs="楷体_GB2312"/>
          <w:bCs/>
          <w:sz w:val="32"/>
          <w:szCs w:val="32"/>
          <w:shd w:val="clear" w:color="auto" w:fill="FFFFFF"/>
          <w:lang w:bidi="ar"/>
        </w:rPr>
        <w:t>。</w:t>
      </w:r>
    </w:p>
    <w:p>
      <w:pPr>
        <w:widowControl/>
        <w:spacing w:line="580" w:lineRule="exact"/>
        <w:ind w:firstLine="642" w:firstLineChars="200"/>
        <w:rPr>
          <w:rFonts w:hint="eastAsia" w:ascii="仿宋_GB2312" w:hAnsi="楷体_GB2312" w:eastAsia="仿宋_GB2312" w:cs="楷体_GB2312"/>
          <w:b/>
          <w:sz w:val="32"/>
          <w:szCs w:val="32"/>
          <w:shd w:val="clear" w:color="auto" w:fill="FFFFFF"/>
          <w:lang w:bidi="ar"/>
        </w:rPr>
      </w:pPr>
      <w:r>
        <w:rPr>
          <w:rFonts w:hint="eastAsia" w:ascii="仿宋_GB2312" w:hAnsi="楷体_GB2312" w:eastAsia="仿宋_GB2312" w:cs="楷体_GB2312"/>
          <w:b/>
          <w:sz w:val="32"/>
          <w:szCs w:val="32"/>
          <w:shd w:val="clear" w:color="auto" w:fill="FFFFFF"/>
          <w:lang w:bidi="ar"/>
        </w:rPr>
        <w:t>6.政府采购执行率</w:t>
      </w:r>
    </w:p>
    <w:p>
      <w:pPr>
        <w:widowControl/>
        <w:spacing w:line="580" w:lineRule="exact"/>
        <w:ind w:firstLine="640" w:firstLineChars="200"/>
        <w:rPr>
          <w:rFonts w:hint="eastAsia" w:ascii="仿宋_GB2312" w:hAnsi="楷体_GB2312" w:eastAsia="仿宋_GB2312" w:cs="楷体_GB2312"/>
          <w:bCs/>
          <w:sz w:val="32"/>
          <w:szCs w:val="32"/>
          <w:shd w:val="clear" w:color="auto" w:fill="FFFFFF"/>
          <w:lang w:bidi="ar"/>
        </w:rPr>
      </w:pPr>
      <w:r>
        <w:rPr>
          <w:rFonts w:hint="eastAsia" w:ascii="仿宋_GB2312" w:hAnsi="楷体_GB2312" w:eastAsia="仿宋_GB2312" w:cs="楷体_GB2312"/>
          <w:bCs/>
          <w:sz w:val="32"/>
          <w:szCs w:val="32"/>
          <w:shd w:val="clear" w:color="auto" w:fill="FFFFFF"/>
          <w:lang w:bidi="ar"/>
        </w:rPr>
        <w:t>2022年政府采购预算安排为5.3万元，实际支出0.7万元，政府采购执行率为13.21%。</w:t>
      </w:r>
    </w:p>
    <w:p>
      <w:pPr>
        <w:widowControl/>
        <w:spacing w:line="620" w:lineRule="exact"/>
        <w:ind w:firstLine="640"/>
        <w:outlineLvl w:val="1"/>
        <w:rPr>
          <w:rFonts w:hint="eastAsia" w:ascii="Times New Roman" w:hAnsi="Times New Roman" w:eastAsia="方正楷体_GB2312"/>
          <w:b/>
          <w:bCs/>
          <w:sz w:val="32"/>
          <w:szCs w:val="32"/>
        </w:rPr>
      </w:pPr>
      <w:bookmarkStart w:id="25" w:name="_Toc31599295"/>
      <w:r>
        <w:rPr>
          <w:rFonts w:hint="eastAsia" w:ascii="Times New Roman" w:hAnsi="Times New Roman" w:eastAsia="方正楷体_GB2312"/>
          <w:b/>
          <w:bCs/>
          <w:sz w:val="32"/>
          <w:szCs w:val="32"/>
        </w:rPr>
        <w:t>（三）预算管理情况</w:t>
      </w:r>
      <w:bookmarkEnd w:id="25"/>
    </w:p>
    <w:p>
      <w:pPr>
        <w:widowControl/>
        <w:spacing w:line="580" w:lineRule="exact"/>
        <w:ind w:firstLine="640" w:firstLineChars="200"/>
        <w:rPr>
          <w:rFonts w:hint="eastAsia" w:ascii="仿宋_GB2312" w:hAnsi="楷体_GB2312" w:eastAsia="仿宋_GB2312" w:cs="楷体_GB2312"/>
          <w:bCs/>
          <w:sz w:val="32"/>
          <w:szCs w:val="32"/>
          <w:shd w:val="clear" w:color="auto" w:fill="FFFFFF"/>
          <w:lang w:bidi="ar"/>
        </w:rPr>
      </w:pPr>
      <w:r>
        <w:rPr>
          <w:rFonts w:hint="eastAsia" w:ascii="仿宋_GB2312" w:hAnsi="楷体_GB2312" w:eastAsia="仿宋_GB2312" w:cs="楷体_GB2312"/>
          <w:bCs/>
          <w:sz w:val="32"/>
          <w:szCs w:val="32"/>
          <w:shd w:val="clear" w:color="auto" w:fill="FFFFFF"/>
          <w:lang w:bidi="ar"/>
        </w:rPr>
        <w:t>1.管理制度的健全性：单位已制定了预算资金管理办法，内部财务管理制度、会计核算制度等管理制度，且相关管理制度合法、合规、且完整，单位相关管理制度得到了有效执行。</w:t>
      </w:r>
    </w:p>
    <w:p>
      <w:pPr>
        <w:widowControl/>
        <w:spacing w:line="580" w:lineRule="exact"/>
        <w:ind w:firstLine="640" w:firstLineChars="200"/>
        <w:rPr>
          <w:rFonts w:hint="eastAsia" w:ascii="仿宋_GB2312" w:hAnsi="楷体_GB2312" w:eastAsia="仿宋_GB2312" w:cs="楷体_GB2312"/>
          <w:bCs/>
          <w:sz w:val="32"/>
          <w:szCs w:val="32"/>
          <w:shd w:val="clear" w:color="auto" w:fill="FFFFFF"/>
          <w:lang w:bidi="ar"/>
        </w:rPr>
      </w:pPr>
      <w:r>
        <w:rPr>
          <w:rFonts w:hint="eastAsia" w:ascii="仿宋_GB2312" w:hAnsi="楷体_GB2312" w:eastAsia="仿宋_GB2312" w:cs="楷体_GB2312"/>
          <w:bCs/>
          <w:sz w:val="32"/>
          <w:szCs w:val="32"/>
          <w:shd w:val="clear" w:color="auto" w:fill="FFFFFF"/>
          <w:lang w:bidi="ar"/>
        </w:rPr>
        <w:t>2.资金使用合规性：单位支出符合国家财经法规和财务管理制度规定以及有关专项资金管理办法的规定；资金拨付有完整的审批程序和手续；支出符合部门预算批复的用途；资金使用无截留、挤占、挪用、虚列支出等情况。</w:t>
      </w:r>
    </w:p>
    <w:p>
      <w:pPr>
        <w:widowControl/>
        <w:spacing w:line="580" w:lineRule="exact"/>
        <w:ind w:firstLine="640" w:firstLineChars="200"/>
        <w:rPr>
          <w:rFonts w:hint="eastAsia" w:ascii="仿宋_GB2312" w:hAnsi="楷体_GB2312" w:eastAsia="仿宋_GB2312" w:cs="楷体_GB2312"/>
          <w:bCs/>
          <w:sz w:val="32"/>
          <w:szCs w:val="32"/>
          <w:shd w:val="clear" w:color="auto" w:fill="FFFFFF"/>
          <w:lang w:bidi="ar"/>
        </w:rPr>
      </w:pPr>
      <w:r>
        <w:rPr>
          <w:rFonts w:hint="eastAsia" w:ascii="仿宋_GB2312" w:hAnsi="楷体_GB2312" w:eastAsia="仿宋_GB2312" w:cs="楷体_GB2312"/>
          <w:bCs/>
          <w:sz w:val="32"/>
          <w:szCs w:val="32"/>
          <w:shd w:val="clear" w:color="auto" w:fill="FFFFFF"/>
          <w:lang w:bidi="ar"/>
        </w:rPr>
        <w:t>3.预决算信息公开性和完善性：本单位按规定内容公开预决算信息；按规定时限公开预决算信息；基础数据信息和会计信息资料真实、完整、准确。</w:t>
      </w:r>
    </w:p>
    <w:p>
      <w:pPr>
        <w:widowControl/>
        <w:spacing w:line="620" w:lineRule="exact"/>
        <w:ind w:firstLine="640"/>
        <w:outlineLvl w:val="1"/>
        <w:rPr>
          <w:rFonts w:hint="eastAsia" w:ascii="Times New Roman" w:hAnsi="Times New Roman" w:eastAsia="方正楷体_GB2312"/>
          <w:b/>
          <w:bCs/>
          <w:sz w:val="32"/>
          <w:szCs w:val="32"/>
        </w:rPr>
      </w:pPr>
      <w:bookmarkStart w:id="26" w:name="_Toc1582948363"/>
      <w:r>
        <w:rPr>
          <w:rFonts w:hint="eastAsia" w:ascii="Times New Roman" w:hAnsi="Times New Roman" w:eastAsia="方正楷体_GB2312"/>
          <w:b/>
          <w:bCs/>
          <w:sz w:val="32"/>
          <w:szCs w:val="32"/>
        </w:rPr>
        <w:t>（四）资产管理情况</w:t>
      </w:r>
      <w:bookmarkEnd w:id="26"/>
    </w:p>
    <w:p>
      <w:pPr>
        <w:widowControl/>
        <w:spacing w:line="580" w:lineRule="exact"/>
        <w:ind w:firstLine="640" w:firstLineChars="200"/>
        <w:rPr>
          <w:rFonts w:hint="eastAsia" w:ascii="仿宋_GB2312" w:hAnsi="楷体_GB2312" w:eastAsia="仿宋_GB2312" w:cs="楷体_GB2312"/>
          <w:bCs/>
          <w:color w:val="FF0000"/>
          <w:sz w:val="32"/>
          <w:szCs w:val="32"/>
          <w:shd w:val="clear" w:color="auto" w:fill="FFFFFF"/>
          <w:lang w:bidi="ar"/>
        </w:rPr>
      </w:pPr>
      <w:r>
        <w:rPr>
          <w:rFonts w:hint="eastAsia" w:ascii="仿宋_GB2312" w:hAnsi="楷体_GB2312" w:eastAsia="仿宋_GB2312" w:cs="楷体_GB2312"/>
          <w:bCs/>
          <w:sz w:val="32"/>
          <w:szCs w:val="32"/>
          <w:shd w:val="clear" w:color="auto" w:fill="FFFFFF"/>
          <w:lang w:bidi="ar"/>
        </w:rPr>
        <w:t>单位已制定了资产管理制度，且相关管理制度合法、合规、且完整，单位相关管理制度得到了有效执行。2022年固定资产总额为49.20万元 ，其中在用固定资产总额49.20万元 ，固定资产利用率=（实际在用固定资产/所有固定资产总额）*100%=100%。</w:t>
      </w:r>
    </w:p>
    <w:p>
      <w:pPr>
        <w:widowControl/>
        <w:spacing w:line="620" w:lineRule="exact"/>
        <w:ind w:firstLine="640"/>
        <w:outlineLvl w:val="1"/>
        <w:rPr>
          <w:rFonts w:hint="eastAsia" w:ascii="Times New Roman" w:hAnsi="Times New Roman" w:eastAsia="方正楷体_GB2312"/>
          <w:b/>
          <w:bCs/>
          <w:sz w:val="32"/>
          <w:szCs w:val="32"/>
        </w:rPr>
      </w:pPr>
      <w:bookmarkStart w:id="27" w:name="_Toc983243684"/>
      <w:r>
        <w:rPr>
          <w:rFonts w:hint="eastAsia" w:ascii="Times New Roman" w:hAnsi="Times New Roman" w:eastAsia="方正楷体_GB2312"/>
          <w:b/>
          <w:bCs/>
          <w:sz w:val="32"/>
          <w:szCs w:val="32"/>
        </w:rPr>
        <w:t>（五）职责履行和履职效益方面 </w:t>
      </w:r>
      <w:bookmarkEnd w:id="27"/>
    </w:p>
    <w:p>
      <w:pPr>
        <w:widowControl/>
        <w:spacing w:line="580" w:lineRule="exact"/>
        <w:ind w:firstLine="642" w:firstLineChars="200"/>
        <w:rPr>
          <w:rFonts w:hint="eastAsia" w:ascii="仿宋_GB2312" w:hAnsi="楷体_GB2312" w:eastAsia="仿宋_GB2312" w:cs="楷体_GB2312"/>
          <w:bCs/>
          <w:sz w:val="32"/>
          <w:szCs w:val="32"/>
          <w:shd w:val="clear" w:color="auto" w:fill="FFFFFF"/>
          <w:lang w:bidi="ar"/>
        </w:rPr>
      </w:pPr>
      <w:bookmarkStart w:id="28" w:name="_Toc9828"/>
      <w:r>
        <w:rPr>
          <w:rFonts w:hint="eastAsia" w:ascii="仿宋_GB2312" w:hAnsi="楷体_GB2312" w:eastAsia="仿宋_GB2312" w:cs="楷体_GB2312"/>
          <w:b/>
          <w:sz w:val="32"/>
          <w:szCs w:val="32"/>
          <w:shd w:val="clear" w:color="auto" w:fill="FFFFFF"/>
          <w:lang w:bidi="ar"/>
        </w:rPr>
        <w:t>1.加强党建引领和精神文明建设。</w:t>
      </w:r>
      <w:r>
        <w:rPr>
          <w:rFonts w:hint="eastAsia" w:ascii="仿宋_GB2312" w:hAnsi="楷体_GB2312" w:eastAsia="仿宋_GB2312" w:cs="楷体_GB2312"/>
          <w:bCs/>
          <w:sz w:val="32"/>
          <w:szCs w:val="32"/>
          <w:shd w:val="clear" w:color="auto" w:fill="FFFFFF"/>
          <w:lang w:bidi="ar"/>
        </w:rPr>
        <w:t>坚持以习近平新时代中国特色社会主义思想为指导，深入学习贯彻落实党的二十大精神，深刻领悟“两个确立”重要意义，进一步树牢“四个意识”，坚定“四个自信”，做到“两个维护”。以建设“清廉住建（人防）”为契机，全面落实湖南省廉洁监督“十不准”要求，开展了“清廉工地”创建等系列活动。同时，按照州文明委关于加强精神文明建设工作的要求，全体干部职工大力弘扬社会主义核心价值观，开展了“我为群众办实事”，认领“微心愿”等系列活动，切实帮助群众化解房屋质量投诉等问题，并为帮扶联系村群众送去了慰问物资，进一步改善群众生产生活条件。通过强化党建引领和精神文明建设，全站干部职工队伍战斗力和凝聚力不断提升，为推动业务工作发展夯实了基础。</w:t>
      </w:r>
    </w:p>
    <w:p>
      <w:pPr>
        <w:widowControl/>
        <w:spacing w:line="580" w:lineRule="exact"/>
        <w:ind w:firstLine="642" w:firstLineChars="200"/>
        <w:rPr>
          <w:rFonts w:hint="eastAsia" w:ascii="仿宋_GB2312" w:hAnsi="楷体_GB2312" w:eastAsia="仿宋_GB2312" w:cs="楷体_GB2312"/>
          <w:bCs/>
          <w:sz w:val="32"/>
          <w:szCs w:val="32"/>
          <w:shd w:val="clear" w:color="auto" w:fill="FFFFFF"/>
          <w:lang w:bidi="ar"/>
        </w:rPr>
      </w:pPr>
      <w:r>
        <w:rPr>
          <w:rFonts w:hint="eastAsia" w:ascii="仿宋_GB2312" w:hAnsi="楷体_GB2312" w:eastAsia="仿宋_GB2312" w:cs="楷体_GB2312"/>
          <w:b/>
          <w:sz w:val="32"/>
          <w:szCs w:val="32"/>
          <w:shd w:val="clear" w:color="auto" w:fill="FFFFFF"/>
          <w:lang w:bidi="ar"/>
        </w:rPr>
        <w:t>2.严抓工程质量和安全生产监管工作。</w:t>
      </w:r>
    </w:p>
    <w:p>
      <w:pPr>
        <w:widowControl/>
        <w:spacing w:line="580" w:lineRule="exact"/>
        <w:ind w:firstLine="642" w:firstLineChars="200"/>
        <w:rPr>
          <w:rFonts w:hint="eastAsia" w:ascii="仿宋_GB2312" w:hAnsi="楷体_GB2312" w:eastAsia="仿宋_GB2312" w:cs="楷体_GB2312"/>
          <w:bCs/>
          <w:sz w:val="32"/>
          <w:szCs w:val="32"/>
          <w:shd w:val="clear" w:color="auto" w:fill="FFFFFF"/>
          <w:lang w:bidi="ar"/>
        </w:rPr>
      </w:pPr>
      <w:r>
        <w:rPr>
          <w:rFonts w:hint="eastAsia" w:ascii="仿宋_GB2312" w:hAnsi="楷体_GB2312" w:eastAsia="仿宋_GB2312" w:cs="楷体_GB2312"/>
          <w:b/>
          <w:sz w:val="32"/>
          <w:szCs w:val="32"/>
          <w:shd w:val="clear" w:color="auto" w:fill="FFFFFF"/>
          <w:lang w:bidi="ar"/>
        </w:rPr>
        <w:t>（1）强化工程质量监管。</w:t>
      </w:r>
      <w:r>
        <w:rPr>
          <w:rFonts w:hint="eastAsia" w:ascii="仿宋_GB2312" w:hAnsi="楷体_GB2312" w:eastAsia="仿宋_GB2312" w:cs="楷体_GB2312"/>
          <w:bCs/>
          <w:sz w:val="32"/>
          <w:szCs w:val="32"/>
          <w:shd w:val="clear" w:color="auto" w:fill="FFFFFF"/>
          <w:lang w:bidi="ar"/>
        </w:rPr>
        <w:t>工以质量兴州的契机，制定了《创建湘西自治州建筑施工质量安全标准化示范观摩工地实施办法》（州住建发</w:t>
      </w:r>
      <w:r>
        <w:rPr>
          <w:rFonts w:hint="eastAsia" w:ascii="仿宋_GB2312" w:hAnsi="仿宋_GB2312" w:eastAsia="仿宋_GB2312" w:cs="仿宋_GB2312"/>
          <w:sz w:val="32"/>
          <w:szCs w:val="32"/>
        </w:rPr>
        <w:t>〔2022〕</w:t>
      </w:r>
      <w:r>
        <w:rPr>
          <w:rFonts w:hint="eastAsia" w:ascii="仿宋_GB2312" w:hAnsi="楷体_GB2312" w:eastAsia="仿宋_GB2312" w:cs="楷体_GB2312"/>
          <w:bCs/>
          <w:sz w:val="32"/>
          <w:szCs w:val="32"/>
          <w:shd w:val="clear" w:color="auto" w:fill="FFFFFF"/>
          <w:lang w:bidi="ar"/>
        </w:rPr>
        <w:t>51号），强化监管队伍，提高人员素质，拓新工作方法，完善监督管理模式。</w:t>
      </w:r>
      <w:r>
        <w:rPr>
          <w:rFonts w:hint="eastAsia" w:ascii="仿宋_GB2312" w:hAnsi="楷体_GB2312" w:eastAsia="仿宋_GB2312" w:cs="楷体_GB2312"/>
          <w:b/>
          <w:sz w:val="32"/>
          <w:szCs w:val="32"/>
          <w:shd w:val="clear" w:color="auto" w:fill="FFFFFF"/>
          <w:lang w:bidi="ar"/>
        </w:rPr>
        <w:t>一是</w:t>
      </w:r>
      <w:r>
        <w:rPr>
          <w:rFonts w:hint="eastAsia" w:ascii="仿宋_GB2312" w:hAnsi="楷体_GB2312" w:eastAsia="仿宋_GB2312" w:cs="楷体_GB2312"/>
          <w:bCs/>
          <w:sz w:val="32"/>
          <w:szCs w:val="32"/>
          <w:shd w:val="clear" w:color="auto" w:fill="FFFFFF"/>
          <w:lang w:bidi="ar"/>
        </w:rPr>
        <w:t>继续深入开展工程质量常见问题专项治理工作，不断提升工程品质。深入推进工程质量常见问题专项治理工作，特别是大力推动铝模板加爬架体系，大力推广新材料，新技术，新工艺，新设备的运用。</w:t>
      </w:r>
      <w:r>
        <w:rPr>
          <w:rFonts w:hint="eastAsia" w:ascii="仿宋_GB2312" w:hAnsi="楷体_GB2312" w:eastAsia="仿宋_GB2312" w:cs="楷体_GB2312"/>
          <w:b/>
          <w:sz w:val="32"/>
          <w:szCs w:val="32"/>
          <w:shd w:val="clear" w:color="auto" w:fill="FFFFFF"/>
          <w:lang w:bidi="ar"/>
        </w:rPr>
        <w:t>二是</w:t>
      </w:r>
      <w:r>
        <w:rPr>
          <w:rFonts w:hint="eastAsia" w:ascii="仿宋_GB2312" w:hAnsi="楷体_GB2312" w:eastAsia="仿宋_GB2312" w:cs="楷体_GB2312"/>
          <w:bCs/>
          <w:sz w:val="32"/>
          <w:szCs w:val="32"/>
          <w:shd w:val="clear" w:color="auto" w:fill="FFFFFF"/>
          <w:lang w:bidi="ar"/>
        </w:rPr>
        <w:t>实行样板引路，积极开展质量安全标准示范工地创建活动。创建了湘西州消防救援指挥中心、战勤保障大队、训练基地、湘西高新区消防救援站“四合一”项目和湘西国家级农业科技园“双创”科技孵化基地及综合服务平台建设项目州级质量标准化管理示范观摩工地。每个工程制定质量通病防治专篇，在防治渗漏裂等工程常见问题治理方面采用了多种有效措施，组织开展了现场和线上的示范观摩活动，发放观摩手册500多份，为全州质量常见问题治理方面发挥了示范表率作用，有力推动了质量常见问题治理工作的发展。</w:t>
      </w:r>
      <w:r>
        <w:rPr>
          <w:rFonts w:hint="eastAsia" w:ascii="仿宋_GB2312" w:hAnsi="楷体_GB2312" w:eastAsia="仿宋_GB2312" w:cs="楷体_GB2312"/>
          <w:b/>
          <w:sz w:val="32"/>
          <w:szCs w:val="32"/>
          <w:shd w:val="clear" w:color="auto" w:fill="FFFFFF"/>
          <w:lang w:bidi="ar"/>
        </w:rPr>
        <w:t>三是</w:t>
      </w:r>
      <w:r>
        <w:rPr>
          <w:rFonts w:hint="eastAsia" w:ascii="仿宋_GB2312" w:hAnsi="楷体_GB2312" w:eastAsia="仿宋_GB2312" w:cs="楷体_GB2312"/>
          <w:bCs/>
          <w:sz w:val="32"/>
          <w:szCs w:val="32"/>
          <w:shd w:val="clear" w:color="auto" w:fill="FFFFFF"/>
          <w:lang w:bidi="ar"/>
        </w:rPr>
        <w:t>严把工程质量检测关，进一步规范检测市场行为。严格加强工程质量检测机构的管理，重点对建筑材料，混凝土和功能实施检测，确保建筑工程本质内在质量。2022年5月至11月组织检查组对在州内建筑行业内承接业务的25家检测机构进行全面检查，对各个机构在质量检测方面存在的不足和问题进行了督促整改，从后期复查情况来看，相关机构均能够针对存在的问题加强自身管理，检测行为得到了有效规范。</w:t>
      </w:r>
      <w:r>
        <w:rPr>
          <w:rFonts w:hint="eastAsia" w:ascii="仿宋_GB2312" w:hAnsi="楷体_GB2312" w:eastAsia="仿宋_GB2312" w:cs="楷体_GB2312"/>
          <w:b/>
          <w:sz w:val="32"/>
          <w:szCs w:val="32"/>
          <w:shd w:val="clear" w:color="auto" w:fill="FFFFFF"/>
          <w:lang w:bidi="ar"/>
        </w:rPr>
        <w:t>四是</w:t>
      </w:r>
      <w:r>
        <w:rPr>
          <w:rFonts w:hint="eastAsia" w:ascii="仿宋_GB2312" w:hAnsi="楷体_GB2312" w:eastAsia="仿宋_GB2312" w:cs="楷体_GB2312"/>
          <w:bCs/>
          <w:sz w:val="32"/>
          <w:szCs w:val="32"/>
          <w:shd w:val="clear" w:color="auto" w:fill="FFFFFF"/>
          <w:lang w:bidi="ar"/>
        </w:rPr>
        <w:t>做好住宅类工程分户验收工作，发现问题及时修补。重点是加强分户验收的工作质量，确保住宅的使用功能和观感质量，降低返修率。强化各责任主体质量责任落实，减少住户和开发商之间的纠纷，减少质量投诉，减少社会矛盾。从根源上提升群众对住宅质量的满意度。</w:t>
      </w:r>
    </w:p>
    <w:p>
      <w:pPr>
        <w:widowControl/>
        <w:spacing w:line="580" w:lineRule="exact"/>
        <w:ind w:firstLine="642" w:firstLineChars="200"/>
        <w:rPr>
          <w:rFonts w:hint="eastAsia" w:ascii="仿宋_GB2312" w:hAnsi="楷体_GB2312" w:eastAsia="仿宋_GB2312" w:cs="楷体_GB2312"/>
          <w:bCs/>
          <w:sz w:val="32"/>
          <w:szCs w:val="32"/>
          <w:shd w:val="clear" w:color="auto" w:fill="FFFFFF"/>
          <w:lang w:bidi="ar"/>
        </w:rPr>
      </w:pPr>
      <w:r>
        <w:rPr>
          <w:rFonts w:hint="eastAsia" w:ascii="仿宋_GB2312" w:hAnsi="楷体_GB2312" w:eastAsia="仿宋_GB2312" w:cs="楷体_GB2312"/>
          <w:b/>
          <w:sz w:val="32"/>
          <w:szCs w:val="32"/>
          <w:shd w:val="clear" w:color="auto" w:fill="FFFFFF"/>
          <w:lang w:bidi="ar"/>
        </w:rPr>
        <w:t>（2）强化安全生产监管。</w:t>
      </w:r>
      <w:r>
        <w:rPr>
          <w:rFonts w:hint="eastAsia" w:ascii="仿宋_GB2312" w:hAnsi="楷体_GB2312" w:eastAsia="仿宋_GB2312" w:cs="楷体_GB2312"/>
          <w:bCs/>
          <w:sz w:val="32"/>
          <w:szCs w:val="32"/>
          <w:shd w:val="clear" w:color="auto" w:fill="FFFFFF"/>
          <w:lang w:bidi="ar"/>
        </w:rPr>
        <w:t>制定下发了《湘西州房屋市政工程安全生产治理行动实施方案》，明确了工作目标、重点任务和相关要求。组织成立了以局党组书记、局长李云信同志任组长，相关分管领导任副组长，涉及科室站办负责人任成员的治理行动领导小组，对全州房屋市政工程安全生产治理行动进行统筹调度。全州各县市区及时在全国工程质量安全监管信息平台对行动方案、责任人员等信息进行了填报，快速有效地完成了前期工作部署。</w:t>
      </w:r>
    </w:p>
    <w:p>
      <w:pPr>
        <w:widowControl/>
        <w:spacing w:line="580" w:lineRule="exact"/>
        <w:ind w:firstLine="640" w:firstLineChars="200"/>
        <w:rPr>
          <w:rFonts w:hint="eastAsia" w:ascii="仿宋_GB2312" w:hAnsi="楷体_GB2312" w:eastAsia="仿宋_GB2312" w:cs="楷体_GB2312"/>
          <w:bCs/>
          <w:sz w:val="32"/>
          <w:szCs w:val="32"/>
          <w:shd w:val="clear" w:color="auto" w:fill="FFFFFF"/>
          <w:lang w:bidi="ar"/>
        </w:rPr>
      </w:pPr>
      <w:r>
        <w:rPr>
          <w:rFonts w:hint="eastAsia" w:ascii="汉仪书宋二S" w:hAnsi="汉仪书宋二S" w:eastAsia="汉仪书宋二S" w:cs="汉仪书宋二S"/>
          <w:bCs/>
          <w:sz w:val="32"/>
          <w:szCs w:val="32"/>
          <w:shd w:val="clear" w:color="auto" w:fill="FFFFFF"/>
          <w:lang w:bidi="ar"/>
        </w:rPr>
        <w:t>①</w:t>
      </w:r>
      <w:r>
        <w:rPr>
          <w:rFonts w:hint="eastAsia" w:ascii="仿宋_GB2312" w:hAnsi="楷体_GB2312" w:eastAsia="仿宋_GB2312" w:cs="楷体_GB2312"/>
          <w:bCs/>
          <w:sz w:val="32"/>
          <w:szCs w:val="32"/>
          <w:shd w:val="clear" w:color="auto" w:fill="FFFFFF"/>
          <w:lang w:bidi="ar"/>
        </w:rPr>
        <w:t>严格压实项目参建单位安全生产主体责任。一是督促建设单位特别是国有投资建设的项目落实好自身安全生产责任，发挥好牵头引领作用，及时向施工单位拨付安全文明措施费并督促其按要求投入使用，杜绝非法开工、压缩工期、忽视安全生产管理等情况。二是施工单位方面，强化企业对项目的管理职责，以建筑施工安全生产考评工作为抓手，督促项目部关键岗位人员到岗履职，及时投入使用安全文明措施费，严格落实安全生产三级教育制度，加强对作业人员的安全技术交底和安全教育工作，强化现场安全管理。三是监理单位方面，依托于湖南省工程项目动态监管平台，发挥好监理月报、急报等功能，及时对施工现场存在的隐患问题进行督促整改。四是进一步落实好其他相关责任主体如勘察设计单位、第三方检测（监测）机构等单位自身安全生产责任，督促他们积极配合施工单位做好现场安全生产管理工作的技术服务等。</w:t>
      </w:r>
    </w:p>
    <w:p>
      <w:pPr>
        <w:widowControl/>
        <w:spacing w:line="580" w:lineRule="exact"/>
        <w:ind w:firstLine="640" w:firstLineChars="200"/>
        <w:rPr>
          <w:rFonts w:hint="eastAsia" w:ascii="仿宋_GB2312" w:hAnsi="楷体_GB2312" w:eastAsia="仿宋_GB2312" w:cs="楷体_GB2312"/>
          <w:bCs/>
          <w:sz w:val="32"/>
          <w:szCs w:val="32"/>
          <w:shd w:val="clear" w:color="auto" w:fill="FFFFFF"/>
          <w:lang w:bidi="ar"/>
        </w:rPr>
      </w:pPr>
      <w:r>
        <w:rPr>
          <w:rFonts w:hint="eastAsia" w:ascii="东文宋体" w:hAnsi="东文宋体" w:eastAsia="东文宋体" w:cs="东文宋体"/>
          <w:bCs/>
          <w:sz w:val="32"/>
          <w:szCs w:val="32"/>
          <w:shd w:val="clear" w:color="auto" w:fill="FFFFFF"/>
          <w:lang w:bidi="ar"/>
        </w:rPr>
        <w:t>②</w:t>
      </w:r>
      <w:r>
        <w:rPr>
          <w:rFonts w:hint="eastAsia" w:ascii="仿宋_GB2312" w:hAnsi="楷体_GB2312" w:eastAsia="仿宋_GB2312" w:cs="楷体_GB2312"/>
          <w:bCs/>
          <w:sz w:val="32"/>
          <w:szCs w:val="32"/>
          <w:shd w:val="clear" w:color="auto" w:fill="FFFFFF"/>
          <w:lang w:bidi="ar"/>
        </w:rPr>
        <w:t>严格做好危险性较大分部分项工程管控。严格施工现场危险性较大分部分项工程的管控，一是强化对超规模危大工程的全过程管控，依托于湖南省建设工程安全专家管理系统，结合工程特点做好专家抽选，强化对超规模危大工程专项施工方案的编审、论证、修正及实施管控，确保方案细致周到、程序合法有效、措施落实到位。二是突出对专项分包单位安全责任落实情况的监督检查，深刻吸取保靖县“5.5”高处作业吊篮人员坠亡事故教训，部署开展了全州建筑工地设备设施专项检查工作，重点对建筑起重机械、高处作业吊篮、附着式爬升脚手架等设备安装拆卸单位技术人员、安全员到岗履职情况加大抽查，坚决杜绝分包单位资质挂靠、特种作业人员无证上岗等现象。三是针对全州建筑工地多边坡的实际情况，加大对边坡治理工作的监督检查，特别是抓好项目开工安全生产条件审查关，对于工地周围边坡治理不到位的，一律不予开工，确保施工现场安全。同时，在边坡治理结束后，督促建设、施工单位继续开展好第三方监测和施工监测工作，杜绝因边坡垮塌等事故导致人员伤亡。</w:t>
      </w:r>
    </w:p>
    <w:p>
      <w:pPr>
        <w:widowControl/>
        <w:spacing w:line="580" w:lineRule="exact"/>
        <w:ind w:firstLine="640" w:firstLineChars="200"/>
        <w:rPr>
          <w:rFonts w:hint="eastAsia" w:ascii="仿宋_GB2312" w:hAnsi="楷体_GB2312" w:eastAsia="仿宋_GB2312" w:cs="楷体_GB2312"/>
          <w:bCs/>
          <w:sz w:val="32"/>
          <w:szCs w:val="32"/>
          <w:shd w:val="clear" w:color="auto" w:fill="FFFFFF"/>
          <w:lang w:bidi="ar"/>
        </w:rPr>
      </w:pPr>
      <w:r>
        <w:rPr>
          <w:rFonts w:hint="eastAsia" w:ascii="东文宋体" w:hAnsi="东文宋体" w:eastAsia="东文宋体" w:cs="东文宋体"/>
          <w:bCs/>
          <w:sz w:val="32"/>
          <w:szCs w:val="32"/>
          <w:shd w:val="clear" w:color="auto" w:fill="FFFFFF"/>
          <w:lang w:bidi="ar"/>
        </w:rPr>
        <w:t>③</w:t>
      </w:r>
      <w:r>
        <w:rPr>
          <w:rFonts w:hint="eastAsia" w:ascii="仿宋_GB2312" w:hAnsi="楷体_GB2312" w:eastAsia="仿宋_GB2312" w:cs="楷体_GB2312"/>
          <w:bCs/>
          <w:sz w:val="32"/>
          <w:szCs w:val="32"/>
          <w:shd w:val="clear" w:color="auto" w:fill="FFFFFF"/>
          <w:lang w:bidi="ar"/>
        </w:rPr>
        <w:t>严格开展施工现场安全隐患排查整治工作。严格按照重大事故隐患判定标准，突出建筑起重机械、边坡工程、基坑工程、模板工程及支撑体系、脚手架工程、拆除工程、暗挖工程、钢结构工程等危大工程，以及高处作业、有限空间作业等高风险作业环节的隐患排查，牢固树立“隐患即事故”的安全理念，结合日常监督检查、专项检查、季度督查等，对现场存在的安全隐患进行全面排查整改，全州共计排查隐患1897处，其中，重大隐患25处，重大安全隐患已经全部挂牌督办落实到位。</w:t>
      </w:r>
    </w:p>
    <w:p>
      <w:pPr>
        <w:widowControl/>
        <w:spacing w:line="580" w:lineRule="exact"/>
        <w:ind w:firstLine="640" w:firstLineChars="200"/>
        <w:rPr>
          <w:rFonts w:hint="eastAsia" w:ascii="仿宋_GB2312" w:hAnsi="楷体_GB2312" w:eastAsia="仿宋_GB2312" w:cs="楷体_GB2312"/>
          <w:bCs/>
          <w:sz w:val="32"/>
          <w:szCs w:val="32"/>
          <w:shd w:val="clear" w:color="auto" w:fill="FFFFFF"/>
          <w:lang w:bidi="ar"/>
        </w:rPr>
      </w:pPr>
      <w:r>
        <w:rPr>
          <w:rFonts w:hint="eastAsia" w:ascii="汉仪书宋二S" w:hAnsi="汉仪书宋二S" w:eastAsia="汉仪书宋二S" w:cs="汉仪书宋二S"/>
          <w:bCs/>
          <w:sz w:val="32"/>
          <w:szCs w:val="32"/>
          <w:shd w:val="clear" w:color="auto" w:fill="FFFFFF"/>
          <w:lang w:bidi="ar"/>
        </w:rPr>
        <w:t>④</w:t>
      </w:r>
      <w:r>
        <w:rPr>
          <w:rFonts w:hint="eastAsia" w:ascii="仿宋_GB2312" w:hAnsi="楷体_GB2312" w:eastAsia="仿宋_GB2312" w:cs="楷体_GB2312"/>
          <w:bCs/>
          <w:sz w:val="32"/>
          <w:szCs w:val="32"/>
          <w:shd w:val="clear" w:color="auto" w:fill="FFFFFF"/>
          <w:lang w:bidi="ar"/>
        </w:rPr>
        <w:t>严格落实《工程质量安全手册》要求，现场安全管理更精细。以《工程质量安全手册》为现场管理工作的指南，督促各参建单位要根据手册有关要求加强安全生产标准化、信息化建设，进一步健全完善安全生产保障体系，稳步提升施工现场安全生产标准化水平，使现场安全管理工作更精细、更到位。</w:t>
      </w:r>
    </w:p>
    <w:p>
      <w:pPr>
        <w:widowControl/>
        <w:spacing w:line="580" w:lineRule="exact"/>
        <w:ind w:firstLine="642" w:firstLineChars="200"/>
        <w:rPr>
          <w:rFonts w:hint="eastAsia" w:ascii="仿宋_GB2312" w:hAnsi="楷体_GB2312" w:eastAsia="仿宋_GB2312" w:cs="楷体_GB2312"/>
          <w:bCs/>
          <w:sz w:val="32"/>
          <w:szCs w:val="32"/>
          <w:shd w:val="clear" w:color="auto" w:fill="FFFFFF"/>
          <w:lang w:bidi="ar"/>
        </w:rPr>
      </w:pPr>
      <w:r>
        <w:rPr>
          <w:rFonts w:hint="eastAsia" w:ascii="仿宋_GB2312" w:hAnsi="楷体_GB2312" w:eastAsia="仿宋_GB2312" w:cs="楷体_GB2312"/>
          <w:b/>
          <w:sz w:val="32"/>
          <w:szCs w:val="32"/>
          <w:shd w:val="clear" w:color="auto" w:fill="FFFFFF"/>
          <w:lang w:bidi="ar"/>
        </w:rPr>
        <w:t>（3）强化层级监督。</w:t>
      </w:r>
      <w:r>
        <w:rPr>
          <w:rFonts w:hint="eastAsia" w:ascii="仿宋_GB2312" w:hAnsi="楷体_GB2312" w:eastAsia="仿宋_GB2312" w:cs="楷体_GB2312"/>
          <w:bCs/>
          <w:sz w:val="32"/>
          <w:szCs w:val="32"/>
          <w:shd w:val="clear" w:color="auto" w:fill="FFFFFF"/>
          <w:lang w:bidi="ar"/>
        </w:rPr>
        <w:t>一是加强对县市监督机构指导，积极组织各县市区监督机构参加了省总站开展的新进人员培训和已持证监督人员的继续教育工作，进一步确保了各级监督机构人员持证上岗比例。二是强化监督规范化考核，督促各县市区监督机构按照监督规范化考核工作要求落实好平台信息录入、监督人员季度考评等工作。</w:t>
      </w:r>
    </w:p>
    <w:p>
      <w:pPr>
        <w:widowControl/>
        <w:spacing w:line="580" w:lineRule="exact"/>
        <w:ind w:firstLine="642" w:firstLineChars="200"/>
        <w:rPr>
          <w:rFonts w:hint="eastAsia" w:ascii="仿宋_GB2312" w:hAnsi="楷体_GB2312" w:eastAsia="仿宋_GB2312" w:cs="楷体_GB2312"/>
          <w:bCs/>
          <w:sz w:val="32"/>
          <w:szCs w:val="32"/>
          <w:shd w:val="clear" w:color="auto" w:fill="FFFFFF"/>
          <w:lang w:bidi="ar"/>
        </w:rPr>
      </w:pPr>
      <w:r>
        <w:rPr>
          <w:rFonts w:hint="eastAsia" w:ascii="仿宋_GB2312" w:hAnsi="楷体_GB2312" w:eastAsia="仿宋_GB2312" w:cs="楷体_GB2312"/>
          <w:b/>
          <w:sz w:val="32"/>
          <w:szCs w:val="32"/>
          <w:shd w:val="clear" w:color="auto" w:fill="FFFFFF"/>
          <w:lang w:bidi="ar"/>
        </w:rPr>
        <w:t>（4）强化行业引领。</w:t>
      </w:r>
      <w:r>
        <w:rPr>
          <w:rFonts w:hint="eastAsia" w:ascii="仿宋_GB2312" w:hAnsi="楷体_GB2312" w:eastAsia="仿宋_GB2312" w:cs="楷体_GB2312"/>
          <w:bCs/>
          <w:sz w:val="32"/>
          <w:szCs w:val="32"/>
          <w:shd w:val="clear" w:color="auto" w:fill="FFFFFF"/>
          <w:lang w:bidi="ar"/>
        </w:rPr>
        <w:t>一是开展行业从业人员培训考核工作，进一步增强了行业从业人员的专业技术水平和能力。二是开展建筑施工应急救援演练，进一步提升了全州建筑施工应急处置能力，强化了日常事故防控和救援意识，对全州建筑施工安全管理工作发展起到了有效促进作用。三是组织开展质量安全标准化示范观摩活动，分别观摩了传统现浇混凝土结构和装配式建筑质量安全标准化优秀工艺做法，对进一步提升企业创优意识和能力起到了良好的促进作用。</w:t>
      </w:r>
    </w:p>
    <w:p>
      <w:pPr>
        <w:spacing w:line="580" w:lineRule="exact"/>
        <w:ind w:left="400" w:leftChars="200"/>
        <w:outlineLvl w:val="0"/>
        <w:rPr>
          <w:rFonts w:hint="eastAsia" w:ascii="黑体" w:hAnsi="黑体" w:eastAsia="黑体"/>
          <w:sz w:val="32"/>
          <w:szCs w:val="32"/>
        </w:rPr>
      </w:pPr>
      <w:bookmarkStart w:id="29" w:name="_Toc223128508"/>
      <w:r>
        <w:rPr>
          <w:rFonts w:hint="eastAsia" w:ascii="黑体" w:hAnsi="黑体" w:eastAsia="黑体"/>
          <w:sz w:val="32"/>
          <w:szCs w:val="32"/>
        </w:rPr>
        <w:t>七、综合评价情况及评价结论</w:t>
      </w:r>
      <w:bookmarkEnd w:id="28"/>
      <w:bookmarkEnd w:id="29"/>
    </w:p>
    <w:p>
      <w:pPr>
        <w:widowControl/>
        <w:spacing w:line="580" w:lineRule="exact"/>
        <w:ind w:firstLine="561"/>
        <w:rPr>
          <w:rFonts w:hint="eastAsia" w:ascii="仿宋_GB2312" w:hAnsi="楷体_GB2312" w:eastAsia="仿宋_GB2312" w:cs="楷体_GB2312"/>
          <w:bCs/>
          <w:sz w:val="32"/>
          <w:szCs w:val="32"/>
          <w:shd w:val="clear" w:color="auto" w:fill="FFFFFF"/>
          <w:lang w:bidi="ar"/>
        </w:rPr>
      </w:pPr>
      <w:r>
        <w:rPr>
          <w:rFonts w:hint="eastAsia" w:ascii="仿宋_GB2312" w:hAnsi="楷体_GB2312" w:eastAsia="仿宋_GB2312" w:cs="楷体_GB2312"/>
          <w:bCs/>
          <w:sz w:val="32"/>
          <w:szCs w:val="32"/>
          <w:shd w:val="clear" w:color="auto" w:fill="FFFFFF"/>
          <w:lang w:bidi="ar"/>
        </w:rPr>
        <w:t>2022年度本单位年初绩效任务已较好完成；单位组织管理和财务管理健全规范，未发生违法违规问题；经济和社会效益显著。根据评价小组设定的绩效评价指标得95.74分（详见附件2：州级预算部门整体支出绩效自评表），评价等次为优。</w:t>
      </w:r>
    </w:p>
    <w:p>
      <w:pPr>
        <w:spacing w:line="580" w:lineRule="exact"/>
        <w:ind w:left="400" w:leftChars="200"/>
        <w:outlineLvl w:val="0"/>
        <w:rPr>
          <w:rFonts w:hint="eastAsia" w:ascii="黑体" w:hAnsi="黑体" w:eastAsia="黑体"/>
          <w:sz w:val="32"/>
          <w:szCs w:val="32"/>
        </w:rPr>
      </w:pPr>
      <w:bookmarkStart w:id="30" w:name="_Toc22845"/>
      <w:r>
        <w:rPr>
          <w:rFonts w:hint="eastAsia" w:ascii="仿宋_GB2312" w:eastAsia="仿宋_GB2312"/>
          <w:b/>
          <w:bCs/>
          <w:sz w:val="32"/>
          <w:szCs w:val="32"/>
        </w:rPr>
        <w:t xml:space="preserve"> </w:t>
      </w:r>
      <w:bookmarkStart w:id="31" w:name="_Toc556265878"/>
      <w:r>
        <w:rPr>
          <w:rFonts w:hint="eastAsia" w:ascii="黑体" w:hAnsi="黑体" w:eastAsia="黑体"/>
          <w:sz w:val="32"/>
          <w:szCs w:val="32"/>
        </w:rPr>
        <w:t>八、主要经验做法、存在的问题及原因分析</w:t>
      </w:r>
      <w:bookmarkEnd w:id="30"/>
      <w:bookmarkEnd w:id="31"/>
    </w:p>
    <w:p>
      <w:pPr>
        <w:widowControl/>
        <w:spacing w:line="580" w:lineRule="exact"/>
        <w:ind w:firstLine="640" w:firstLineChars="200"/>
        <w:rPr>
          <w:rFonts w:ascii="仿宋_GB2312" w:hAnsi="楷体_GB2312" w:eastAsia="仿宋_GB2312" w:cs="楷体_GB2312"/>
          <w:bCs/>
          <w:sz w:val="32"/>
          <w:szCs w:val="32"/>
          <w:shd w:val="clear" w:color="auto" w:fill="FFFFFF"/>
          <w:lang w:bidi="ar"/>
        </w:rPr>
      </w:pPr>
      <w:bookmarkStart w:id="32" w:name="_Toc29968"/>
      <w:r>
        <w:rPr>
          <w:rFonts w:hint="eastAsia" w:ascii="仿宋_GB2312" w:hAnsi="楷体_GB2312" w:eastAsia="仿宋_GB2312" w:cs="楷体_GB2312"/>
          <w:bCs/>
          <w:sz w:val="32"/>
          <w:szCs w:val="32"/>
          <w:shd w:val="clear" w:color="auto" w:fill="FFFFFF"/>
          <w:lang w:bidi="ar"/>
        </w:rPr>
        <w:t>通过对2022年度部门整体支出绩效自评，进一步提升了预算管理和绩效产出的认识：绩效管理不只是财政支出方面，而应更加注重产出及效率。</w:t>
      </w:r>
      <w:r>
        <w:rPr>
          <w:rFonts w:ascii="仿宋_GB2312" w:hAnsi="楷体_GB2312" w:eastAsia="仿宋_GB2312" w:cs="楷体_GB2312"/>
          <w:bCs/>
          <w:sz w:val="32"/>
          <w:szCs w:val="32"/>
          <w:shd w:val="clear" w:color="auto" w:fill="FFFFFF"/>
          <w:lang w:bidi="ar"/>
        </w:rPr>
        <w:t xml:space="preserve"> </w:t>
      </w:r>
    </w:p>
    <w:p>
      <w:pPr>
        <w:spacing w:line="580" w:lineRule="exact"/>
        <w:ind w:firstLine="640" w:firstLineChars="200"/>
        <w:rPr>
          <w:rFonts w:hint="eastAsia"/>
          <w:sz w:val="32"/>
          <w:szCs w:val="32"/>
          <w:lang w:bidi="ar"/>
        </w:rPr>
      </w:pPr>
      <w:r>
        <w:rPr>
          <w:rFonts w:hint="eastAsia" w:ascii="仿宋_GB2312" w:hAnsi="楷体_GB2312" w:eastAsia="仿宋_GB2312" w:cs="楷体_GB2312"/>
          <w:bCs/>
          <w:sz w:val="32"/>
          <w:szCs w:val="32"/>
          <w:shd w:val="clear" w:color="auto" w:fill="FFFFFF"/>
          <w:lang w:bidi="ar"/>
        </w:rPr>
        <w:t>存</w:t>
      </w:r>
      <w:r>
        <w:rPr>
          <w:rFonts w:ascii="仿宋_GB2312" w:hAnsi="楷体_GB2312" w:eastAsia="仿宋_GB2312" w:cs="楷体_GB2312"/>
          <w:bCs/>
          <w:sz w:val="32"/>
          <w:szCs w:val="32"/>
          <w:shd w:val="clear" w:color="auto" w:fill="FFFFFF"/>
          <w:lang w:bidi="ar"/>
        </w:rPr>
        <w:t>在的问题</w:t>
      </w:r>
      <w:r>
        <w:rPr>
          <w:rFonts w:hint="eastAsia" w:ascii="仿宋_GB2312" w:hAnsi="楷体_GB2312" w:eastAsia="仿宋_GB2312" w:cs="楷体_GB2312"/>
          <w:bCs/>
          <w:sz w:val="32"/>
          <w:szCs w:val="32"/>
          <w:shd w:val="clear" w:color="auto" w:fill="FFFFFF"/>
          <w:lang w:bidi="ar"/>
        </w:rPr>
        <w:t>：预算执行率为77.44%，政府采购执行率为13.21%。</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下一步改进措施：</w:t>
      </w:r>
    </w:p>
    <w:p>
      <w:pPr>
        <w:widowControl/>
        <w:spacing w:line="580" w:lineRule="exact"/>
        <w:ind w:firstLine="642" w:firstLineChars="200"/>
        <w:rPr>
          <w:rFonts w:hint="eastAsia" w:ascii="仿宋_GB2312" w:hAnsi="仿宋_GB2312" w:eastAsia="仿宋_GB2312" w:cs="仿宋_GB2312"/>
          <w:sz w:val="32"/>
          <w:szCs w:val="32"/>
        </w:rPr>
      </w:pPr>
      <w:r>
        <w:rPr>
          <w:rFonts w:hint="eastAsia" w:eastAsia="方正楷体_GB2312"/>
          <w:b/>
          <w:bCs/>
          <w:sz w:val="32"/>
          <w:szCs w:val="32"/>
        </w:rPr>
        <w:t>（一）要科学合理编制部门预算。</w:t>
      </w:r>
      <w:r>
        <w:rPr>
          <w:rFonts w:hint="eastAsia" w:ascii="仿宋_GB2312" w:hAnsi="仿宋_GB2312" w:eastAsia="仿宋_GB2312" w:cs="仿宋_GB2312"/>
          <w:sz w:val="32"/>
          <w:szCs w:val="32"/>
        </w:rPr>
        <w:t>预算要结合本单位实际</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要确保部门预算编制真实、准确、完整。</w:t>
      </w:r>
    </w:p>
    <w:p>
      <w:pPr>
        <w:widowControl/>
        <w:spacing w:line="580" w:lineRule="exact"/>
        <w:ind w:firstLine="642" w:firstLineChars="200"/>
        <w:rPr>
          <w:rFonts w:hint="eastAsia" w:ascii="仿宋_GB2312" w:hAnsi="仿宋_GB2312" w:eastAsia="仿宋_GB2312" w:cs="仿宋_GB2312"/>
          <w:sz w:val="32"/>
          <w:szCs w:val="32"/>
        </w:rPr>
      </w:pPr>
      <w:r>
        <w:rPr>
          <w:rFonts w:hint="eastAsia" w:eastAsia="方正楷体_GB2312"/>
          <w:b/>
          <w:bCs/>
          <w:sz w:val="32"/>
          <w:szCs w:val="32"/>
        </w:rPr>
        <w:t>（二）要强化预算执行。</w:t>
      </w:r>
      <w:r>
        <w:rPr>
          <w:rFonts w:hint="eastAsia" w:ascii="仿宋_GB2312" w:hAnsi="仿宋_GB2312" w:eastAsia="仿宋_GB2312" w:cs="仿宋_GB2312"/>
          <w:sz w:val="32"/>
          <w:szCs w:val="32"/>
        </w:rPr>
        <w:t>加强绩效管理考核，围绕绩效考核目标任务，层层分解落实，明确责任领导和责任单位（科室）及责任人，强化责任意识，增强工作的主动性，确保每一项任务都落到实处，同时建立并执行考核目标执行情况跟踪检查制度，责任追究制度，使单位在合理使用资金，有效控制支出的情况下，确保各项绩效考核指标保质保量完成。</w:t>
      </w:r>
    </w:p>
    <w:p>
      <w:pPr>
        <w:spacing w:line="580" w:lineRule="exact"/>
        <w:ind w:firstLine="640" w:firstLineChars="200"/>
        <w:outlineLvl w:val="0"/>
        <w:rPr>
          <w:rFonts w:hint="eastAsia" w:ascii="黑体" w:hAnsi="黑体" w:eastAsia="黑体"/>
          <w:sz w:val="32"/>
          <w:szCs w:val="32"/>
        </w:rPr>
      </w:pPr>
      <w:bookmarkStart w:id="33" w:name="_Toc296794514"/>
      <w:r>
        <w:rPr>
          <w:rFonts w:hint="eastAsia" w:ascii="黑体" w:hAnsi="黑体" w:eastAsia="黑体"/>
          <w:sz w:val="32"/>
          <w:szCs w:val="32"/>
        </w:rPr>
        <w:t>九、有关建议</w:t>
      </w:r>
      <w:bookmarkEnd w:id="32"/>
      <w:bookmarkEnd w:id="33"/>
    </w:p>
    <w:p>
      <w:pPr>
        <w:spacing w:line="580" w:lineRule="exact"/>
        <w:ind w:firstLine="642" w:firstLineChars="200"/>
        <w:rPr>
          <w:rFonts w:ascii="仿宋_GB2312" w:hAnsi="仿宋_GB2312" w:eastAsia="仿宋_GB2312" w:cs="仿宋_GB2312"/>
          <w:sz w:val="32"/>
          <w:szCs w:val="32"/>
        </w:rPr>
      </w:pPr>
      <w:r>
        <w:rPr>
          <w:rFonts w:hint="eastAsia" w:eastAsia="方正楷体_GB2312"/>
          <w:b/>
          <w:bCs/>
          <w:sz w:val="32"/>
          <w:szCs w:val="32"/>
        </w:rPr>
        <w:t>（一）加强预算编制科学性。</w:t>
      </w:r>
      <w:r>
        <w:rPr>
          <w:rFonts w:hint="eastAsia" w:ascii="仿宋_GB2312" w:hAnsi="仿宋_GB2312" w:eastAsia="仿宋_GB2312" w:cs="仿宋_GB2312"/>
          <w:sz w:val="32"/>
          <w:szCs w:val="32"/>
        </w:rPr>
        <w:t>年初编制预算时，要坚持实事求是，切实做到不少报、不漏报、不估报，采取科学的方法进行测算，以减少预算调整数。</w:t>
      </w:r>
      <w:r>
        <w:rPr>
          <w:rFonts w:ascii="仿宋_GB2312" w:hAnsi="仿宋_GB2312" w:eastAsia="仿宋_GB2312" w:cs="仿宋_GB2312"/>
          <w:sz w:val="32"/>
          <w:szCs w:val="32"/>
        </w:rPr>
        <w:t xml:space="preserve"> </w:t>
      </w:r>
    </w:p>
    <w:p>
      <w:pPr>
        <w:spacing w:line="580" w:lineRule="exact"/>
        <w:ind w:firstLine="642" w:firstLineChars="200"/>
        <w:rPr>
          <w:rFonts w:ascii="仿宋_GB2312" w:hAnsi="仿宋_GB2312" w:eastAsia="仿宋_GB2312" w:cs="仿宋_GB2312"/>
          <w:sz w:val="32"/>
          <w:szCs w:val="32"/>
        </w:rPr>
      </w:pPr>
      <w:r>
        <w:rPr>
          <w:rFonts w:hint="eastAsia" w:eastAsia="方正楷体_GB2312"/>
          <w:b/>
          <w:bCs/>
          <w:sz w:val="32"/>
          <w:szCs w:val="32"/>
        </w:rPr>
        <w:t>（二）对标年度绩效目标任务推动工作落实。</w:t>
      </w:r>
      <w:r>
        <w:rPr>
          <w:rFonts w:hint="eastAsia" w:ascii="仿宋_GB2312" w:hAnsi="仿宋_GB2312" w:eastAsia="仿宋_GB2312" w:cs="仿宋_GB2312"/>
          <w:sz w:val="32"/>
          <w:szCs w:val="32"/>
        </w:rPr>
        <w:t>根据年度部门整体支出绩效目标任务，扎实推进相关工作，确保预算绩效目标按时、优质完成。</w:t>
      </w:r>
    </w:p>
    <w:p>
      <w:pPr>
        <w:spacing w:line="580" w:lineRule="exact"/>
        <w:ind w:left="400" w:leftChars="200"/>
        <w:outlineLvl w:val="0"/>
        <w:rPr>
          <w:rFonts w:hint="eastAsia" w:ascii="黑体" w:hAnsi="黑体" w:eastAsia="黑体"/>
          <w:sz w:val="32"/>
          <w:szCs w:val="32"/>
        </w:rPr>
      </w:pPr>
      <w:bookmarkStart w:id="34" w:name="_Toc2005489030"/>
      <w:bookmarkStart w:id="35" w:name="_Toc21166"/>
      <w:r>
        <w:rPr>
          <w:rFonts w:hint="eastAsia" w:ascii="黑体" w:hAnsi="黑体" w:eastAsia="黑体"/>
          <w:sz w:val="32"/>
          <w:szCs w:val="32"/>
        </w:rPr>
        <w:t>十、绩效自评结果拟应用和公开情况</w:t>
      </w:r>
      <w:bookmarkEnd w:id="34"/>
      <w:bookmarkEnd w:id="35"/>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2022年度绩效评价自评材料将于2023年6月30日前，在州级预决算公开平台及本部门门户网站上全文公开部门整体支出绩效自评报告，接受社会公众监督。</w:t>
      </w:r>
    </w:p>
    <w:p>
      <w:pPr>
        <w:spacing w:line="580" w:lineRule="exact"/>
        <w:ind w:left="400" w:leftChars="200"/>
        <w:outlineLvl w:val="0"/>
        <w:rPr>
          <w:rFonts w:ascii="黑体" w:hAnsi="黑体" w:eastAsia="黑体"/>
          <w:sz w:val="32"/>
          <w:szCs w:val="32"/>
        </w:rPr>
      </w:pPr>
      <w:bookmarkStart w:id="36" w:name="_Toc609668580"/>
      <w:bookmarkStart w:id="37" w:name="_Toc106521709"/>
      <w:r>
        <w:rPr>
          <w:rFonts w:ascii="黑体" w:hAnsi="黑体" w:eastAsia="黑体"/>
          <w:sz w:val="32"/>
          <w:szCs w:val="32"/>
        </w:rPr>
        <w:t>十一、其他需要说明的问题</w:t>
      </w:r>
      <w:bookmarkEnd w:id="36"/>
      <w:bookmarkEnd w:id="37"/>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本单位无其他需要说明问题。</w:t>
      </w:r>
    </w:p>
    <w:p>
      <w:pPr>
        <w:spacing w:line="600" w:lineRule="exact"/>
        <w:ind w:left="1568" w:leftChars="304" w:hanging="960" w:hangingChars="300"/>
        <w:rPr>
          <w:rFonts w:ascii="方正仿宋_GB2312" w:hAnsi="方正仿宋_GB2312" w:eastAsia="方正仿宋_GB2312" w:cs="方正仿宋_GB2312"/>
          <w:sz w:val="32"/>
          <w:szCs w:val="32"/>
        </w:rPr>
      </w:pPr>
      <w:r>
        <w:rPr>
          <w:rFonts w:ascii="方正仿宋_GB2312" w:hAnsi="方正仿宋_GB2312" w:eastAsia="方正仿宋_GB2312" w:cs="方正仿宋_GB2312"/>
          <w:sz w:val="32"/>
          <w:szCs w:val="32"/>
        </w:rPr>
        <w:t>附件：1.州级预算部门整体支出绩效评价基础数据表</w:t>
      </w:r>
    </w:p>
    <w:p>
      <w:pPr>
        <w:spacing w:line="600" w:lineRule="exact"/>
        <w:ind w:left="1520" w:leftChars="760"/>
        <w:rPr>
          <w:rFonts w:ascii="方正仿宋_GB2312" w:hAnsi="方正仿宋_GB2312" w:eastAsia="方正仿宋_GB2312" w:cs="方正仿宋_GB2312"/>
          <w:sz w:val="32"/>
          <w:szCs w:val="32"/>
        </w:rPr>
      </w:pPr>
      <w:r>
        <w:rPr>
          <w:rFonts w:ascii="方正仿宋_GB2312" w:hAnsi="方正仿宋_GB2312" w:eastAsia="方正仿宋_GB2312" w:cs="方正仿宋_GB2312"/>
          <w:sz w:val="32"/>
          <w:szCs w:val="32"/>
        </w:rPr>
        <w:t>2.州级预算部门整体支出绩效自评表</w:t>
      </w:r>
    </w:p>
    <w:p>
      <w:pPr>
        <w:spacing w:line="600" w:lineRule="exact"/>
        <w:ind w:left="1568" w:leftChars="304" w:hanging="960" w:hangingChars="3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r>
        <w:rPr>
          <w:rFonts w:ascii="方正仿宋_GB2312" w:hAnsi="方正仿宋_GB2312" w:eastAsia="方正仿宋_GB2312" w:cs="方正仿宋_GB2312"/>
          <w:sz w:val="32"/>
          <w:szCs w:val="32"/>
        </w:rPr>
        <w:fldChar w:fldCharType="begin"/>
      </w:r>
      <w:r>
        <w:rPr>
          <w:rFonts w:ascii="方正仿宋_GB2312" w:hAnsi="方正仿宋_GB2312" w:eastAsia="方正仿宋_GB2312" w:cs="方正仿宋_GB2312"/>
          <w:sz w:val="32"/>
          <w:szCs w:val="32"/>
        </w:rPr>
        <w:instrText xml:space="preserve"> HYPERLINK "附件3：2021年州质安站绩效评价通知.doc" </w:instrText>
      </w:r>
      <w:r>
        <w:rPr>
          <w:rFonts w:ascii="方正仿宋_GB2312" w:hAnsi="方正仿宋_GB2312" w:eastAsia="方正仿宋_GB2312" w:cs="方正仿宋_GB2312"/>
          <w:sz w:val="32"/>
          <w:szCs w:val="32"/>
        </w:rPr>
        <w:fldChar w:fldCharType="separate"/>
      </w:r>
      <w:r>
        <w:rPr>
          <w:rFonts w:hint="eastAsia" w:ascii="方正仿宋_GB2312" w:hAnsi="方正仿宋_GB2312" w:eastAsia="方正仿宋_GB2312" w:cs="方正仿宋_GB2312"/>
          <w:sz w:val="32"/>
          <w:szCs w:val="32"/>
        </w:rPr>
        <w:t xml:space="preserve">     3.湘西自治州</w:t>
      </w:r>
      <w:bookmarkStart w:id="38" w:name="_Hlt107409013"/>
      <w:r>
        <w:rPr>
          <w:rFonts w:hint="eastAsia" w:ascii="方正仿宋_GB2312" w:hAnsi="方正仿宋_GB2312" w:eastAsia="方正仿宋_GB2312" w:cs="方正仿宋_GB2312"/>
          <w:sz w:val="32"/>
          <w:szCs w:val="32"/>
        </w:rPr>
        <w:t>建</w:t>
      </w:r>
      <w:bookmarkEnd w:id="38"/>
      <w:r>
        <w:rPr>
          <w:rFonts w:hint="eastAsia" w:ascii="方正仿宋_GB2312" w:hAnsi="方正仿宋_GB2312" w:eastAsia="方正仿宋_GB2312" w:cs="方正仿宋_GB2312"/>
          <w:sz w:val="32"/>
          <w:szCs w:val="32"/>
        </w:rPr>
        <w:t>设工程</w:t>
      </w:r>
      <w:bookmarkStart w:id="39" w:name="_Hlt107408228"/>
      <w:bookmarkEnd w:id="39"/>
      <w:r>
        <w:rPr>
          <w:rFonts w:hint="eastAsia" w:ascii="方正仿宋_GB2312" w:hAnsi="方正仿宋_GB2312" w:eastAsia="方正仿宋_GB2312" w:cs="方正仿宋_GB2312"/>
          <w:sz w:val="32"/>
          <w:szCs w:val="32"/>
        </w:rPr>
        <w:t>质量安全监督管理站关于开展2022年度整体支出绩效自评工作的通知</w:t>
      </w:r>
    </w:p>
    <w:p>
      <w:pPr>
        <w:spacing w:line="600" w:lineRule="exact"/>
        <w:ind w:left="1568" w:leftChars="304" w:hanging="960" w:hangingChars="300"/>
        <w:rPr>
          <w:rFonts w:hint="eastAsia" w:ascii="仿宋_GB2312" w:hAnsi="仿宋_GB2312" w:eastAsia="仿宋_GB2312" w:cs="仿宋_GB2312"/>
          <w:sz w:val="32"/>
          <w:szCs w:val="32"/>
        </w:rPr>
      </w:pPr>
      <w:r>
        <w:rPr>
          <w:rFonts w:ascii="方正仿宋_GB2312" w:hAnsi="方正仿宋_GB2312" w:eastAsia="方正仿宋_GB2312" w:cs="方正仿宋_GB2312"/>
          <w:sz w:val="32"/>
          <w:szCs w:val="32"/>
        </w:rPr>
        <w:fldChar w:fldCharType="end"/>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spacing w:line="600" w:lineRule="exact"/>
        <w:jc w:val="center"/>
        <w:rPr>
          <w:rFonts w:hint="eastAsia" w:ascii="仿宋_GB2312" w:hAnsi="楷体_GB2312" w:eastAsia="仿宋_GB2312" w:cs="楷体_GB2312"/>
          <w:bCs/>
          <w:sz w:val="32"/>
          <w:szCs w:val="32"/>
          <w:shd w:val="clear" w:color="auto" w:fill="FFFFFF"/>
          <w:lang w:bidi="ar"/>
        </w:rPr>
      </w:pPr>
      <w:r>
        <w:rPr>
          <w:rFonts w:hint="eastAsia" w:eastAsia="仿宋_GB2312"/>
          <w:sz w:val="32"/>
          <w:szCs w:val="32"/>
        </w:rPr>
        <w:t xml:space="preserve">                </w:t>
      </w:r>
      <w:r>
        <w:rPr>
          <w:rFonts w:hint="eastAsia" w:ascii="仿宋_GB2312" w:hAnsi="楷体_GB2312" w:eastAsia="仿宋_GB2312" w:cs="楷体_GB2312"/>
          <w:bCs/>
          <w:sz w:val="32"/>
          <w:szCs w:val="32"/>
          <w:shd w:val="clear" w:color="auto" w:fill="FFFFFF"/>
          <w:lang w:bidi="ar"/>
        </w:rPr>
        <w:t xml:space="preserve">湘西自治州建设工程质量安全监督管理站 </w:t>
      </w:r>
    </w:p>
    <w:p>
      <w:pPr>
        <w:spacing w:line="600" w:lineRule="exact"/>
        <w:jc w:val="center"/>
        <w:rPr>
          <w:rFonts w:hint="eastAsia" w:eastAsia="仿宋_GB2312"/>
          <w:sz w:val="32"/>
          <w:szCs w:val="32"/>
        </w:rPr>
      </w:pPr>
      <w:r>
        <w:rPr>
          <w:rFonts w:hint="eastAsia" w:eastAsia="仿宋_GB2312"/>
          <w:sz w:val="32"/>
          <w:szCs w:val="32"/>
        </w:rPr>
        <w:t xml:space="preserve">                    2023年6月15日</w:t>
      </w:r>
    </w:p>
    <w:sectPr>
      <w:footerReference r:id="rId6" w:type="default"/>
      <w:pgSz w:w="11905" w:h="16837"/>
      <w:pgMar w:top="1418" w:right="1531" w:bottom="1985" w:left="1531" w:header="851"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Kohinoor Telugu">
    <w:altName w:val="Noto Serif CJK JP ExtraLight"/>
    <w:panose1 w:val="02000000000000000000"/>
    <w:charset w:val="00"/>
    <w:family w:val="auto"/>
    <w:pitch w:val="default"/>
    <w:sig w:usb0="00000000" w:usb1="00000000" w:usb2="00000000" w:usb3="00000000" w:csb0="00000093"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TimesNewRoman">
    <w:altName w:val="Nimbus Roman No9 L"/>
    <w:panose1 w:val="020B0604020202020204"/>
    <w:charset w:val="00"/>
    <w:family w:val="roman"/>
    <w:pitch w:val="default"/>
    <w:sig w:usb0="00000000" w:usb1="00000000" w:usb2="00000000"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楷体_GB2312">
    <w:altName w:val="楷体"/>
    <w:panose1 w:val="02000000000000000000"/>
    <w:charset w:val="86"/>
    <w:family w:val="auto"/>
    <w:pitch w:val="default"/>
    <w:sig w:usb0="00000000" w:usb1="00000000" w:usb2="00000012" w:usb3="00000000" w:csb0="00040001" w:csb1="00000000"/>
  </w:font>
  <w:font w:name="汉仪书宋二S">
    <w:panose1 w:val="00020600040101010101"/>
    <w:charset w:val="86"/>
    <w:family w:val="auto"/>
    <w:pitch w:val="default"/>
    <w:sig w:usb0="A00002BF" w:usb1="18EF7CFA" w:usb2="00000016" w:usb3="00000000" w:csb0="00040000" w:csb1="00000000"/>
  </w:font>
  <w:font w:name="东文宋体">
    <w:altName w:val="方正书宋_GBK"/>
    <w:panose1 w:val="020B0604020202020204"/>
    <w:charset w:val="00"/>
    <w:family w:val="auto"/>
    <w:pitch w:val="default"/>
    <w:sig w:usb0="00000000" w:usb1="00000000" w:usb2="00000000" w:usb3="00000000" w:csb0="00040001" w:csb1="00000000"/>
  </w:font>
  <w:font w:name="方正仿宋_GB2312">
    <w:altName w:val="方正仿宋_GBK"/>
    <w:panose1 w:val="02000000000000000000"/>
    <w:charset w:val="86"/>
    <w:family w:val="auto"/>
    <w:pitch w:val="default"/>
    <w:sig w:usb0="00000000" w:usb1="00000000" w:usb2="00000012" w:usb3="00000000" w:csb0="00040001"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书宋_GBK">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Noto Serif CJK JP ExtraLight">
    <w:panose1 w:val="02020200000000000000"/>
    <w:charset w:val="86"/>
    <w:family w:val="auto"/>
    <w:pitch w:val="default"/>
    <w:sig w:usb0="30000083" w:usb1="2BDF3C10" w:usb2="00000016" w:usb3="00000000" w:csb0="602E0107"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文本框 7"/>
              <wp:cNvGraphicFramePr/>
              <a:graphic xmlns:a="http://schemas.openxmlformats.org/drawingml/2006/main">
                <a:graphicData uri="http://schemas.microsoft.com/office/word/2010/wordprocessingShape">
                  <wps:wsp>
                    <wps:cNvSpPr txBox="true"/>
                    <wps:spPr bwMode="auto">
                      <a:xfrm>
                        <a:off x="0" y="0"/>
                        <a:ext cx="190500" cy="131445"/>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- 7 -</w:t>
                          </w:r>
                          <w:r>
                            <w:rPr>
                              <w:rFonts w:hint="eastAsia"/>
                            </w:rPr>
                            <w:fldChar w:fldCharType="end"/>
                          </w:r>
                        </w:p>
                      </w:txbxContent>
                    </wps:txbx>
                    <wps:bodyPr rot="0" vert="horz" wrap="none" lIns="0" tIns="0" rIns="0" bIns="0" anchor="t" anchorCtr="false" upright="true">
                      <a:spAutoFit/>
                    </wps:bodyPr>
                  </wps:wsp>
                </a:graphicData>
              </a:graphic>
            </wp:anchor>
          </w:drawing>
        </mc:Choice>
        <mc:Fallback>
          <w:pict>
            <v:shape id="文本框 7" o:spid="_x0000_s1026" o:spt="202" type="#_x0000_t202" style="position:absolute;left:0pt;margin-top:0pt;height:10.35pt;width:15pt;mso-position-horizontal:center;mso-position-horizontal-relative:margin;mso-wrap-style:none;z-index:251659264;mso-width-relative:page;mso-height-relative:page;" filled="f" stroked="f" coordsize="21600,21600" o:gfxdata="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CipFLs&#10;0AAAAAMBAAAPAAAAAAAAAAEAIAAAADgAAABkcnMvZG93bnJldi54bWxQSwECFAAUAAAACACHTuJA&#10;5BgeBtoBAACOAwAADgAAAAAAAAABACAAAAA1AQAAZHJzL2Uyb0RvYy54bWxQSwUGAAAAAAYABgBZ&#10;AQAAgQU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- 7 -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jM2RhMDZiNWUzNDY3NjI4NGU3M2Q5NWU5ZmRjNGMifQ=="/>
  </w:docVars>
  <w:rsids>
    <w:rsidRoot w:val="00C61BEB"/>
    <w:rsid w:val="0001322A"/>
    <w:rsid w:val="00014D66"/>
    <w:rsid w:val="000334D1"/>
    <w:rsid w:val="0003506A"/>
    <w:rsid w:val="000511E2"/>
    <w:rsid w:val="000526A2"/>
    <w:rsid w:val="000604C1"/>
    <w:rsid w:val="00062641"/>
    <w:rsid w:val="00073332"/>
    <w:rsid w:val="000742B6"/>
    <w:rsid w:val="0007770E"/>
    <w:rsid w:val="000777C3"/>
    <w:rsid w:val="0008672B"/>
    <w:rsid w:val="0009217F"/>
    <w:rsid w:val="0009240E"/>
    <w:rsid w:val="00097EFA"/>
    <w:rsid w:val="000A1938"/>
    <w:rsid w:val="000A1D30"/>
    <w:rsid w:val="000B73E6"/>
    <w:rsid w:val="000C0056"/>
    <w:rsid w:val="000C4DB5"/>
    <w:rsid w:val="000C4E46"/>
    <w:rsid w:val="000C6CF7"/>
    <w:rsid w:val="000D1105"/>
    <w:rsid w:val="000D39E7"/>
    <w:rsid w:val="000D6A91"/>
    <w:rsid w:val="000D791C"/>
    <w:rsid w:val="000E5124"/>
    <w:rsid w:val="000F051D"/>
    <w:rsid w:val="00112488"/>
    <w:rsid w:val="00132372"/>
    <w:rsid w:val="00132D97"/>
    <w:rsid w:val="00156C2D"/>
    <w:rsid w:val="001575AB"/>
    <w:rsid w:val="00167AA8"/>
    <w:rsid w:val="001741BF"/>
    <w:rsid w:val="00184E35"/>
    <w:rsid w:val="00193CE1"/>
    <w:rsid w:val="00195C91"/>
    <w:rsid w:val="001A173F"/>
    <w:rsid w:val="001A3C9C"/>
    <w:rsid w:val="001B7997"/>
    <w:rsid w:val="001D133F"/>
    <w:rsid w:val="001D19AB"/>
    <w:rsid w:val="001E2E97"/>
    <w:rsid w:val="001F57DF"/>
    <w:rsid w:val="00205372"/>
    <w:rsid w:val="0021514A"/>
    <w:rsid w:val="00217853"/>
    <w:rsid w:val="00222A21"/>
    <w:rsid w:val="00234CAE"/>
    <w:rsid w:val="002425E8"/>
    <w:rsid w:val="00265990"/>
    <w:rsid w:val="0026716B"/>
    <w:rsid w:val="0027024C"/>
    <w:rsid w:val="002709DE"/>
    <w:rsid w:val="00277431"/>
    <w:rsid w:val="00284949"/>
    <w:rsid w:val="00284C2E"/>
    <w:rsid w:val="002954C5"/>
    <w:rsid w:val="002A4989"/>
    <w:rsid w:val="002C0922"/>
    <w:rsid w:val="002C43ED"/>
    <w:rsid w:val="002E4C15"/>
    <w:rsid w:val="003111BD"/>
    <w:rsid w:val="0032419E"/>
    <w:rsid w:val="00334170"/>
    <w:rsid w:val="0035204F"/>
    <w:rsid w:val="00352AEF"/>
    <w:rsid w:val="00366B55"/>
    <w:rsid w:val="00380A2A"/>
    <w:rsid w:val="003B469A"/>
    <w:rsid w:val="003E7D65"/>
    <w:rsid w:val="003F3948"/>
    <w:rsid w:val="003F5B26"/>
    <w:rsid w:val="0042382D"/>
    <w:rsid w:val="00436BB1"/>
    <w:rsid w:val="00441258"/>
    <w:rsid w:val="004538F7"/>
    <w:rsid w:val="00453B4F"/>
    <w:rsid w:val="004607BF"/>
    <w:rsid w:val="0046709A"/>
    <w:rsid w:val="00481268"/>
    <w:rsid w:val="00487CB3"/>
    <w:rsid w:val="004973E0"/>
    <w:rsid w:val="004A7C74"/>
    <w:rsid w:val="004B297C"/>
    <w:rsid w:val="004B5B0C"/>
    <w:rsid w:val="004C1AE5"/>
    <w:rsid w:val="004D0A08"/>
    <w:rsid w:val="004D0B52"/>
    <w:rsid w:val="004D48AE"/>
    <w:rsid w:val="004D70F5"/>
    <w:rsid w:val="004F4309"/>
    <w:rsid w:val="004F610B"/>
    <w:rsid w:val="004F7F51"/>
    <w:rsid w:val="00502251"/>
    <w:rsid w:val="0050237D"/>
    <w:rsid w:val="005236A1"/>
    <w:rsid w:val="00543282"/>
    <w:rsid w:val="00556C83"/>
    <w:rsid w:val="00557D24"/>
    <w:rsid w:val="00560D92"/>
    <w:rsid w:val="00560FAF"/>
    <w:rsid w:val="00564997"/>
    <w:rsid w:val="00567779"/>
    <w:rsid w:val="00573523"/>
    <w:rsid w:val="00576DF2"/>
    <w:rsid w:val="00582406"/>
    <w:rsid w:val="005841A4"/>
    <w:rsid w:val="00595FCC"/>
    <w:rsid w:val="005A015C"/>
    <w:rsid w:val="005B048B"/>
    <w:rsid w:val="005B1DE3"/>
    <w:rsid w:val="005B498D"/>
    <w:rsid w:val="005B5BEA"/>
    <w:rsid w:val="005B67DC"/>
    <w:rsid w:val="005C5E92"/>
    <w:rsid w:val="005D6002"/>
    <w:rsid w:val="005E472D"/>
    <w:rsid w:val="005E67BD"/>
    <w:rsid w:val="005F0DDD"/>
    <w:rsid w:val="005F2294"/>
    <w:rsid w:val="005F29B4"/>
    <w:rsid w:val="005F4AEA"/>
    <w:rsid w:val="006048A0"/>
    <w:rsid w:val="00611FED"/>
    <w:rsid w:val="006135C5"/>
    <w:rsid w:val="00616578"/>
    <w:rsid w:val="00621BE4"/>
    <w:rsid w:val="00625935"/>
    <w:rsid w:val="0063799E"/>
    <w:rsid w:val="006411B1"/>
    <w:rsid w:val="00684B66"/>
    <w:rsid w:val="00686DC6"/>
    <w:rsid w:val="006944A7"/>
    <w:rsid w:val="006C1C57"/>
    <w:rsid w:val="006C4D83"/>
    <w:rsid w:val="006C5D37"/>
    <w:rsid w:val="006D2D8C"/>
    <w:rsid w:val="006D4D55"/>
    <w:rsid w:val="006D5576"/>
    <w:rsid w:val="006D5732"/>
    <w:rsid w:val="0071020D"/>
    <w:rsid w:val="0071115D"/>
    <w:rsid w:val="007134BA"/>
    <w:rsid w:val="007165EA"/>
    <w:rsid w:val="007226F0"/>
    <w:rsid w:val="00726CFA"/>
    <w:rsid w:val="00735083"/>
    <w:rsid w:val="00740284"/>
    <w:rsid w:val="00741176"/>
    <w:rsid w:val="00743385"/>
    <w:rsid w:val="00744C38"/>
    <w:rsid w:val="00745CD3"/>
    <w:rsid w:val="0075042C"/>
    <w:rsid w:val="00752A2D"/>
    <w:rsid w:val="007549B9"/>
    <w:rsid w:val="007759A3"/>
    <w:rsid w:val="00775AFA"/>
    <w:rsid w:val="00784F8D"/>
    <w:rsid w:val="00785200"/>
    <w:rsid w:val="007914B8"/>
    <w:rsid w:val="00792898"/>
    <w:rsid w:val="007A189F"/>
    <w:rsid w:val="007A3A53"/>
    <w:rsid w:val="007A675C"/>
    <w:rsid w:val="007B2C93"/>
    <w:rsid w:val="007B4C32"/>
    <w:rsid w:val="007B4FB0"/>
    <w:rsid w:val="007B6CE4"/>
    <w:rsid w:val="007C478C"/>
    <w:rsid w:val="007D1A6F"/>
    <w:rsid w:val="007D659C"/>
    <w:rsid w:val="00804CB8"/>
    <w:rsid w:val="00807CB1"/>
    <w:rsid w:val="008158AD"/>
    <w:rsid w:val="00816A33"/>
    <w:rsid w:val="008436FF"/>
    <w:rsid w:val="00846B24"/>
    <w:rsid w:val="00896FA5"/>
    <w:rsid w:val="008A6D59"/>
    <w:rsid w:val="008B079A"/>
    <w:rsid w:val="008B1727"/>
    <w:rsid w:val="008D05C8"/>
    <w:rsid w:val="008D2BF1"/>
    <w:rsid w:val="008D7082"/>
    <w:rsid w:val="008F3483"/>
    <w:rsid w:val="008F449B"/>
    <w:rsid w:val="00915080"/>
    <w:rsid w:val="00922CEA"/>
    <w:rsid w:val="00931BA1"/>
    <w:rsid w:val="00936911"/>
    <w:rsid w:val="00942528"/>
    <w:rsid w:val="00956C89"/>
    <w:rsid w:val="0096451A"/>
    <w:rsid w:val="00965E92"/>
    <w:rsid w:val="009664A6"/>
    <w:rsid w:val="00970BF6"/>
    <w:rsid w:val="00974FF0"/>
    <w:rsid w:val="00981D4C"/>
    <w:rsid w:val="00987D67"/>
    <w:rsid w:val="00990510"/>
    <w:rsid w:val="00992EA8"/>
    <w:rsid w:val="0099486C"/>
    <w:rsid w:val="009A16A3"/>
    <w:rsid w:val="009A7B2B"/>
    <w:rsid w:val="009C3044"/>
    <w:rsid w:val="009D3AFB"/>
    <w:rsid w:val="009F3DBE"/>
    <w:rsid w:val="00A0354C"/>
    <w:rsid w:val="00A142F8"/>
    <w:rsid w:val="00A144E4"/>
    <w:rsid w:val="00A352D6"/>
    <w:rsid w:val="00A36E54"/>
    <w:rsid w:val="00A446C8"/>
    <w:rsid w:val="00A52992"/>
    <w:rsid w:val="00A56F51"/>
    <w:rsid w:val="00A5782B"/>
    <w:rsid w:val="00A70247"/>
    <w:rsid w:val="00A733D4"/>
    <w:rsid w:val="00A875C1"/>
    <w:rsid w:val="00A903E4"/>
    <w:rsid w:val="00A9077E"/>
    <w:rsid w:val="00A940DE"/>
    <w:rsid w:val="00AA3B7A"/>
    <w:rsid w:val="00AB2447"/>
    <w:rsid w:val="00AC4FAA"/>
    <w:rsid w:val="00B04F1A"/>
    <w:rsid w:val="00B12287"/>
    <w:rsid w:val="00B13F65"/>
    <w:rsid w:val="00B17EBC"/>
    <w:rsid w:val="00B340D9"/>
    <w:rsid w:val="00B424F6"/>
    <w:rsid w:val="00B4401C"/>
    <w:rsid w:val="00B44E19"/>
    <w:rsid w:val="00B52953"/>
    <w:rsid w:val="00B70848"/>
    <w:rsid w:val="00B87A9C"/>
    <w:rsid w:val="00B91BFB"/>
    <w:rsid w:val="00BB2A4A"/>
    <w:rsid w:val="00BC5FD2"/>
    <w:rsid w:val="00BD1172"/>
    <w:rsid w:val="00BD4CFF"/>
    <w:rsid w:val="00BE5BA1"/>
    <w:rsid w:val="00BF6D14"/>
    <w:rsid w:val="00BF72EC"/>
    <w:rsid w:val="00C10CD7"/>
    <w:rsid w:val="00C121C7"/>
    <w:rsid w:val="00C12497"/>
    <w:rsid w:val="00C25E67"/>
    <w:rsid w:val="00C417C0"/>
    <w:rsid w:val="00C46FC0"/>
    <w:rsid w:val="00C51648"/>
    <w:rsid w:val="00C57E95"/>
    <w:rsid w:val="00C61BEB"/>
    <w:rsid w:val="00C63140"/>
    <w:rsid w:val="00C8229E"/>
    <w:rsid w:val="00C87851"/>
    <w:rsid w:val="00CB297F"/>
    <w:rsid w:val="00CB6815"/>
    <w:rsid w:val="00CC68B6"/>
    <w:rsid w:val="00CC7B37"/>
    <w:rsid w:val="00CD2E82"/>
    <w:rsid w:val="00CD781B"/>
    <w:rsid w:val="00CE77A1"/>
    <w:rsid w:val="00D12E3A"/>
    <w:rsid w:val="00D147E8"/>
    <w:rsid w:val="00D15EAC"/>
    <w:rsid w:val="00D26DF0"/>
    <w:rsid w:val="00D2711C"/>
    <w:rsid w:val="00D31F37"/>
    <w:rsid w:val="00D351F8"/>
    <w:rsid w:val="00D45998"/>
    <w:rsid w:val="00D45FBE"/>
    <w:rsid w:val="00D52A1C"/>
    <w:rsid w:val="00D63383"/>
    <w:rsid w:val="00D66649"/>
    <w:rsid w:val="00D66994"/>
    <w:rsid w:val="00D72090"/>
    <w:rsid w:val="00D73AA2"/>
    <w:rsid w:val="00D757C6"/>
    <w:rsid w:val="00D85D28"/>
    <w:rsid w:val="00D8688B"/>
    <w:rsid w:val="00D94C22"/>
    <w:rsid w:val="00DA1487"/>
    <w:rsid w:val="00DA4497"/>
    <w:rsid w:val="00DB1EB9"/>
    <w:rsid w:val="00DB4D1E"/>
    <w:rsid w:val="00DD3C6B"/>
    <w:rsid w:val="00DD72EE"/>
    <w:rsid w:val="00DF2BC0"/>
    <w:rsid w:val="00E06FE9"/>
    <w:rsid w:val="00E23958"/>
    <w:rsid w:val="00E310DA"/>
    <w:rsid w:val="00E318D7"/>
    <w:rsid w:val="00E31E18"/>
    <w:rsid w:val="00E355D8"/>
    <w:rsid w:val="00E35DC2"/>
    <w:rsid w:val="00E40AEF"/>
    <w:rsid w:val="00E41C20"/>
    <w:rsid w:val="00E44080"/>
    <w:rsid w:val="00E46078"/>
    <w:rsid w:val="00E612CC"/>
    <w:rsid w:val="00E76F16"/>
    <w:rsid w:val="00E835CB"/>
    <w:rsid w:val="00E91228"/>
    <w:rsid w:val="00EA0BF7"/>
    <w:rsid w:val="00EA3C54"/>
    <w:rsid w:val="00EA54A8"/>
    <w:rsid w:val="00EA6B90"/>
    <w:rsid w:val="00EB5866"/>
    <w:rsid w:val="00EC10EE"/>
    <w:rsid w:val="00EC1A8C"/>
    <w:rsid w:val="00EE6623"/>
    <w:rsid w:val="00F1067E"/>
    <w:rsid w:val="00F11A49"/>
    <w:rsid w:val="00F17E9E"/>
    <w:rsid w:val="00F348A3"/>
    <w:rsid w:val="00F647A4"/>
    <w:rsid w:val="00F66726"/>
    <w:rsid w:val="00F71669"/>
    <w:rsid w:val="00F73F69"/>
    <w:rsid w:val="00F74947"/>
    <w:rsid w:val="00F7731A"/>
    <w:rsid w:val="00F85087"/>
    <w:rsid w:val="00F878E7"/>
    <w:rsid w:val="00F924FC"/>
    <w:rsid w:val="00F9403E"/>
    <w:rsid w:val="00F95D11"/>
    <w:rsid w:val="00FA103A"/>
    <w:rsid w:val="00FB315A"/>
    <w:rsid w:val="00FC4D69"/>
    <w:rsid w:val="00FD1060"/>
    <w:rsid w:val="00FD2574"/>
    <w:rsid w:val="00FD2CBA"/>
    <w:rsid w:val="00FD3FEF"/>
    <w:rsid w:val="00FD7650"/>
    <w:rsid w:val="00FE465B"/>
    <w:rsid w:val="00FE4987"/>
    <w:rsid w:val="00FF49D4"/>
    <w:rsid w:val="01C761D7"/>
    <w:rsid w:val="01FC6D26"/>
    <w:rsid w:val="02FA7A78"/>
    <w:rsid w:val="036F1C56"/>
    <w:rsid w:val="03AA3A3A"/>
    <w:rsid w:val="03D71456"/>
    <w:rsid w:val="045F73E1"/>
    <w:rsid w:val="04E54AB8"/>
    <w:rsid w:val="05B25B8B"/>
    <w:rsid w:val="05DD05B6"/>
    <w:rsid w:val="05E75A46"/>
    <w:rsid w:val="0729545E"/>
    <w:rsid w:val="0736252A"/>
    <w:rsid w:val="082D6965"/>
    <w:rsid w:val="0CDC7AFB"/>
    <w:rsid w:val="0D2C0D4F"/>
    <w:rsid w:val="0D32244B"/>
    <w:rsid w:val="0DB9323F"/>
    <w:rsid w:val="0EF17599"/>
    <w:rsid w:val="0FB5303E"/>
    <w:rsid w:val="10836EA3"/>
    <w:rsid w:val="12363F7D"/>
    <w:rsid w:val="12B17DAD"/>
    <w:rsid w:val="134C7F5B"/>
    <w:rsid w:val="15427CF1"/>
    <w:rsid w:val="15A31161"/>
    <w:rsid w:val="17603333"/>
    <w:rsid w:val="199222D2"/>
    <w:rsid w:val="1B6E6E9E"/>
    <w:rsid w:val="1C405E9A"/>
    <w:rsid w:val="1C912AD2"/>
    <w:rsid w:val="1CCB296B"/>
    <w:rsid w:val="1DA0058D"/>
    <w:rsid w:val="1DCA58F3"/>
    <w:rsid w:val="1E13789F"/>
    <w:rsid w:val="1FB33BEA"/>
    <w:rsid w:val="20417847"/>
    <w:rsid w:val="216D3EF4"/>
    <w:rsid w:val="21CC1743"/>
    <w:rsid w:val="224A0B4C"/>
    <w:rsid w:val="237717A8"/>
    <w:rsid w:val="254A4138"/>
    <w:rsid w:val="25D87C07"/>
    <w:rsid w:val="274B1AC1"/>
    <w:rsid w:val="276B6436"/>
    <w:rsid w:val="279F449E"/>
    <w:rsid w:val="299F35CD"/>
    <w:rsid w:val="2AA40615"/>
    <w:rsid w:val="2C01331D"/>
    <w:rsid w:val="2DC776FD"/>
    <w:rsid w:val="2E2F692A"/>
    <w:rsid w:val="2E6C59AC"/>
    <w:rsid w:val="2F0719BC"/>
    <w:rsid w:val="2F10154D"/>
    <w:rsid w:val="2F516707"/>
    <w:rsid w:val="2F9757C5"/>
    <w:rsid w:val="30363885"/>
    <w:rsid w:val="31531FDB"/>
    <w:rsid w:val="329C2A6A"/>
    <w:rsid w:val="34890BD7"/>
    <w:rsid w:val="34B20E5B"/>
    <w:rsid w:val="34B5261D"/>
    <w:rsid w:val="354C1AE7"/>
    <w:rsid w:val="386753F3"/>
    <w:rsid w:val="388C5881"/>
    <w:rsid w:val="38D37A57"/>
    <w:rsid w:val="39105F5F"/>
    <w:rsid w:val="39D66DAB"/>
    <w:rsid w:val="39E6589F"/>
    <w:rsid w:val="3D0E7071"/>
    <w:rsid w:val="3DFDED23"/>
    <w:rsid w:val="3EA360C2"/>
    <w:rsid w:val="3FA327AB"/>
    <w:rsid w:val="3FBA0377"/>
    <w:rsid w:val="40783344"/>
    <w:rsid w:val="42553815"/>
    <w:rsid w:val="42F86E2D"/>
    <w:rsid w:val="43926089"/>
    <w:rsid w:val="44276757"/>
    <w:rsid w:val="4450285F"/>
    <w:rsid w:val="445F648B"/>
    <w:rsid w:val="452B44E8"/>
    <w:rsid w:val="47D45B4E"/>
    <w:rsid w:val="485E46D2"/>
    <w:rsid w:val="4860457D"/>
    <w:rsid w:val="49FE0CEA"/>
    <w:rsid w:val="4A100A7C"/>
    <w:rsid w:val="4A960975"/>
    <w:rsid w:val="4AED382D"/>
    <w:rsid w:val="4B081CF5"/>
    <w:rsid w:val="4B2B0621"/>
    <w:rsid w:val="4B632E92"/>
    <w:rsid w:val="4BBB4C5A"/>
    <w:rsid w:val="4C2E5114"/>
    <w:rsid w:val="4D380262"/>
    <w:rsid w:val="4E267A0F"/>
    <w:rsid w:val="4EEFEDF5"/>
    <w:rsid w:val="51724D94"/>
    <w:rsid w:val="52606CAA"/>
    <w:rsid w:val="533D6688"/>
    <w:rsid w:val="54C51D0F"/>
    <w:rsid w:val="552E2CAE"/>
    <w:rsid w:val="56442908"/>
    <w:rsid w:val="567E712D"/>
    <w:rsid w:val="577DAD94"/>
    <w:rsid w:val="5877030E"/>
    <w:rsid w:val="58D81A91"/>
    <w:rsid w:val="592E4333"/>
    <w:rsid w:val="59F95CDB"/>
    <w:rsid w:val="5A0432D6"/>
    <w:rsid w:val="5A1A7991"/>
    <w:rsid w:val="5B4E62B3"/>
    <w:rsid w:val="5BB76F86"/>
    <w:rsid w:val="5BDB1404"/>
    <w:rsid w:val="5C4927BE"/>
    <w:rsid w:val="5D401DAF"/>
    <w:rsid w:val="5DBF28C3"/>
    <w:rsid w:val="5E0C2593"/>
    <w:rsid w:val="5E3D1B3F"/>
    <w:rsid w:val="5E461A46"/>
    <w:rsid w:val="5FD993F9"/>
    <w:rsid w:val="60454DD5"/>
    <w:rsid w:val="60483519"/>
    <w:rsid w:val="606B249B"/>
    <w:rsid w:val="62944A95"/>
    <w:rsid w:val="642C774D"/>
    <w:rsid w:val="65684307"/>
    <w:rsid w:val="65750F75"/>
    <w:rsid w:val="66102028"/>
    <w:rsid w:val="671F0024"/>
    <w:rsid w:val="67655803"/>
    <w:rsid w:val="67701307"/>
    <w:rsid w:val="679D6AAB"/>
    <w:rsid w:val="67D470DE"/>
    <w:rsid w:val="686471A4"/>
    <w:rsid w:val="68832AEA"/>
    <w:rsid w:val="68B5251D"/>
    <w:rsid w:val="6A200D19"/>
    <w:rsid w:val="6ABF300F"/>
    <w:rsid w:val="6AD82A8E"/>
    <w:rsid w:val="6B6156AF"/>
    <w:rsid w:val="6B7C64DA"/>
    <w:rsid w:val="6B8E54EE"/>
    <w:rsid w:val="6C1A699E"/>
    <w:rsid w:val="6CF30B62"/>
    <w:rsid w:val="6DBFEC52"/>
    <w:rsid w:val="6E961F7F"/>
    <w:rsid w:val="6EC61615"/>
    <w:rsid w:val="6F2514B3"/>
    <w:rsid w:val="6FD773E2"/>
    <w:rsid w:val="70057AA7"/>
    <w:rsid w:val="70BF3C13"/>
    <w:rsid w:val="7159366C"/>
    <w:rsid w:val="72190C7C"/>
    <w:rsid w:val="72C3063F"/>
    <w:rsid w:val="737BE6A3"/>
    <w:rsid w:val="749472D9"/>
    <w:rsid w:val="75E44EB3"/>
    <w:rsid w:val="76C4717B"/>
    <w:rsid w:val="77743F8A"/>
    <w:rsid w:val="77754F31"/>
    <w:rsid w:val="77B6064A"/>
    <w:rsid w:val="77D252A2"/>
    <w:rsid w:val="79225E54"/>
    <w:rsid w:val="79495B20"/>
    <w:rsid w:val="79D17392"/>
    <w:rsid w:val="7A8A444B"/>
    <w:rsid w:val="7D4F93E8"/>
    <w:rsid w:val="7D7262A1"/>
    <w:rsid w:val="7E5F7AB2"/>
    <w:rsid w:val="7F742894"/>
    <w:rsid w:val="7F8B626E"/>
    <w:rsid w:val="7F9E39C4"/>
    <w:rsid w:val="7FFACFD7"/>
    <w:rsid w:val="8D2FE749"/>
    <w:rsid w:val="AEFF3D07"/>
    <w:rsid w:val="AFB3A813"/>
    <w:rsid w:val="BDDFD07C"/>
    <w:rsid w:val="BF7A903D"/>
    <w:rsid w:val="DEAB29D1"/>
    <w:rsid w:val="EFEFDE3B"/>
    <w:rsid w:val="F975E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仿宋_GB2312" w:eastAsiaTheme="minorEastAsia" w:cs="Kohinoor Telugu"/>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cs="Kohinoor Telugu" w:eastAsiaTheme="minorEastAsia"/>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rFonts w:ascii="宋体" w:eastAsia="宋体"/>
      <w:sz w:val="26"/>
      <w:szCs w:val="26"/>
    </w:rPr>
  </w:style>
  <w:style w:type="character" w:customStyle="1" w:styleId="5">
    <w:name w:val="批注框文本 字符"/>
    <w:basedOn w:val="4"/>
    <w:link w:val="2"/>
    <w:semiHidden/>
    <w:uiPriority w:val="99"/>
    <w:rPr>
      <w:rFonts w:ascii="宋体" w:eastAsia="宋体"/>
      <w:sz w:val="26"/>
      <w:szCs w:val="2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20</Pages>
  <Words>9036</Words>
  <Characters>9478</Characters>
  <Lines>80</Lines>
  <Paragraphs>22</Paragraphs>
  <TotalTime>5</TotalTime>
  <ScaleCrop>false</ScaleCrop>
  <LinksUpToDate>false</LinksUpToDate>
  <CharactersWithSpaces>9897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2023-06-28T15:06:00Z</dcterms:created>
  <dc:creator>朱静 172.16.14.222</dc:creator>
  <cp:lastModifiedBy>greatwall</cp:lastModifiedBy>
  <cp:lastPrinted>2021-05-12T02:40:00Z</cp:lastPrinted>
  <dcterms:modified xsi:type="dcterms:W3CDTF">2023-06-30T15:21:32Z</dcterms:modified>
  <dc:title>湘西土家族苗族自治州财政局发文（函）稿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828CC51D736E48FDBEEC5047A0472A81_13</vt:lpwstr>
  </property>
</Properties>
</file>